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75" w:right="75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福建省“第十四届中国大学生年度人物”拟推选名单公示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75" w:right="75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76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根据人民网、光明日报社教育部、《大学生》杂志社、中国大学生在线《关于组织开展“第十四届中国大学生年度人物推选展示”活动的函》要求，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在各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高校推荐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的基础上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经研究，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推荐福建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省3名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学生为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第十四届中国大学生年度人物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人选。现将推荐人选名单及事迹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76" w:right="76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公示期为2019年4月1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日—1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日。如有异议，请于公示期内向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我委思想政治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工作处反映。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76" w:right="76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0591-87091437、87091476，87846705（传真）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76" w:right="76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地址：福州市鼓屏路162号省教育厅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1105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室（邮编：350003）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76" w:right="76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 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中共福建省委教育工委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2019年4月1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</w:rPr>
        <w:t>“第十四届中国大学生年度人物”拟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lang w:eastAsia="zh-CN"/>
        </w:rPr>
        <w:t>推荐人选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 w:firstLine="31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 一、陈诚斌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（创新创业类）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男，中共党员，</w:t>
      </w:r>
      <w:r>
        <w:rPr>
          <w:rFonts w:hint="eastAsia" w:ascii="仿宋_GB2312" w:eastAsia="仿宋_GB2312"/>
          <w:b/>
          <w:bCs/>
          <w:sz w:val="32"/>
          <w:szCs w:val="32"/>
        </w:rPr>
        <w:t>福州大学</w:t>
      </w:r>
      <w:r>
        <w:rPr>
          <w:rFonts w:hint="eastAsia" w:ascii="仿宋_GB2312" w:eastAsia="仿宋_GB2312"/>
          <w:sz w:val="32"/>
          <w:szCs w:val="32"/>
        </w:rPr>
        <w:t>物理与信息工程学院2017级通信与信息系统专业博士研究生，全国“小平团队”北斗团队负责人，全国高校“百个研究生样板党支部”福大北斗团队党支部书记，先后获国家级奖项20项，省级奖项5项，发表科研论文3篇，在申专利10项，目前从事全自动多旋翼无人机服务网络研究，并担任学院兼职辅导员，学生获得国家级及以上奖项数十项。2018年10月获全国“互联网+”大学生创新创业大赛银奖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2018年10月获“中国电信奖学金”暨“践行社会主义核心价值先进个人标兵”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2019年2月获福建省“向上向善”好青年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二、陈志锋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（自强不息类）</w:t>
      </w:r>
    </w:p>
    <w:p>
      <w:pPr>
        <w:spacing w:line="360" w:lineRule="auto"/>
        <w:ind w:firstLine="640" w:firstLineChars="200"/>
        <w:jc w:val="left"/>
        <w:rPr>
          <w:rFonts w:hint="eastAsia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男，中共党员，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福建医科大学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研究生院2017级耳鼻咽喉科学专业研究生，现任第一临床医学院研究生团总支副书记、支部书记。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自幼失母，家境贫寒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，大学时父亲又患食管癌去世。身为人子，他孝老爱亲、不离不弃；身为学子，他学业精进、坚守梦想。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先后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被评为福建省“向上向善”好青年、“身边的青春榜样”，获“国家励志奖学金”、“大学生自强奖学金”、校一等学业奖学金。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2016年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获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中国大学生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自强之星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提名奖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2018年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获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首届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福建省最美学生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2018年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获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第三届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福建励志先锋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”称号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三、苏金楼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（全面发展类）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男，中共预备党员，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福建商学院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工程系2016级会展经济与管理专业学生。学习优异，连续两学年综测成绩和学习成绩位列专业第一，各方面表现突出，全面发展。获第二季福建省高校大学生学习马克思主义理论“一‘马’当先”知识竞赛本科组个人一等奖；2016-2017学年国家奖学金；2018年度“福建省优秀共青团员”、2018年大学生志愿者暑期“三下乡”社会实践活动先进个人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6" w:right="22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Eras Light ITC">
    <w:altName w:val="NumberOnly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黑体;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11C65"/>
    <w:rsid w:val="08C95DC1"/>
    <w:rsid w:val="11E11C65"/>
    <w:rsid w:val="3F315626"/>
    <w:rsid w:val="489004DE"/>
    <w:rsid w:val="4D0327CB"/>
    <w:rsid w:val="4DDA1C51"/>
    <w:rsid w:val="4EE545FA"/>
    <w:rsid w:val="534F37FB"/>
    <w:rsid w:val="69893BA1"/>
    <w:rsid w:val="6DF966C1"/>
    <w:rsid w:val="6FE075FA"/>
    <w:rsid w:val="70E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2019-04-12T00:49:00Z</dcterms:created>
  <dc:creator>user</dc:creator>
  <cp:lastModifiedBy>user</cp:lastModifiedBy>
  <cp:lastPrinted>2019-04-12T02:29:00Z</cp:lastPrinted>
  <dcterms:modified xsi:type="dcterms:W3CDTF">2019-04-15T08:58:52Z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