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宋体" w:hAnsi="宋体" w:eastAsia="黑体" w:cs="黑体"/>
          <w:i w:val="0"/>
          <w:color w:val="auto"/>
          <w:kern w:val="0"/>
          <w:sz w:val="32"/>
          <w:szCs w:val="32"/>
          <w:u w:val="none"/>
          <w:lang w:val="en-US" w:eastAsia="zh-CN" w:bidi="ar"/>
        </w:rPr>
      </w:pPr>
      <w:bookmarkStart w:id="0" w:name="_GoBack"/>
      <w:bookmarkEnd w:id="0"/>
      <w:r>
        <w:rPr>
          <w:rFonts w:hint="eastAsia" w:ascii="宋体" w:hAnsi="宋体" w:eastAsia="黑体" w:cs="黑体"/>
          <w:i w:val="0"/>
          <w:color w:val="auto"/>
          <w:kern w:val="0"/>
          <w:sz w:val="32"/>
          <w:szCs w:val="32"/>
          <w:u w:val="none"/>
          <w:lang w:val="en-US" w:eastAsia="zh-CN" w:bidi="ar"/>
        </w:rPr>
        <w:t>附件</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方正小标宋简体" w:cs="方正小标宋简体"/>
          <w:i w:val="0"/>
          <w:color w:val="auto"/>
          <w:kern w:val="0"/>
          <w:sz w:val="40"/>
          <w:szCs w:val="40"/>
          <w:u w:val="none"/>
          <w:lang w:val="en-US" w:eastAsia="zh-CN" w:bidi="ar"/>
        </w:rPr>
      </w:pP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方正小标宋简体" w:cs="方正小标宋简体"/>
          <w:i w:val="0"/>
          <w:color w:val="auto"/>
          <w:kern w:val="0"/>
          <w:sz w:val="44"/>
          <w:szCs w:val="44"/>
          <w:u w:val="none"/>
          <w:lang w:val="en-US" w:eastAsia="zh-CN" w:bidi="ar"/>
        </w:rPr>
      </w:pPr>
      <w:r>
        <w:rPr>
          <w:rFonts w:hint="eastAsia" w:ascii="宋体" w:hAnsi="宋体" w:eastAsia="方正小标宋简体" w:cs="方正小标宋简体"/>
          <w:i w:val="0"/>
          <w:color w:val="auto"/>
          <w:kern w:val="0"/>
          <w:sz w:val="44"/>
          <w:szCs w:val="44"/>
          <w:u w:val="none"/>
          <w:lang w:val="en-US" w:eastAsia="zh-CN" w:bidi="ar"/>
        </w:rPr>
        <w:t>2024年度全省教育系统党建重点课题</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方正小标宋简体" w:cs="方正小标宋简体"/>
          <w:b w:val="0"/>
          <w:bCs/>
          <w:i w:val="0"/>
          <w:caps w:val="0"/>
          <w:color w:val="auto"/>
          <w:spacing w:val="0"/>
          <w:sz w:val="44"/>
          <w:szCs w:val="44"/>
          <w:shd w:val="clear" w:fill="FFFFFF"/>
          <w:lang w:eastAsia="zh-CN"/>
        </w:rPr>
      </w:pPr>
      <w:r>
        <w:rPr>
          <w:rFonts w:hint="eastAsia" w:ascii="宋体" w:hAnsi="宋体" w:eastAsia="方正小标宋简体" w:cs="方正小标宋简体"/>
          <w:i w:val="0"/>
          <w:color w:val="auto"/>
          <w:kern w:val="0"/>
          <w:sz w:val="44"/>
          <w:szCs w:val="44"/>
          <w:u w:val="none"/>
          <w:lang w:val="en-US" w:eastAsia="zh-CN" w:bidi="ar"/>
        </w:rPr>
        <w:t>优秀调研成果公示名单</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仿宋_GB2312" w:cs="仿宋_GB2312"/>
          <w:b w:val="0"/>
          <w:bCs/>
          <w:i w:val="0"/>
          <w:caps w:val="0"/>
          <w:color w:val="auto"/>
          <w:spacing w:val="0"/>
          <w:sz w:val="32"/>
          <w:szCs w:val="32"/>
          <w:shd w:val="clear" w:fill="FFFFFF"/>
          <w:lang w:val="en-US" w:eastAsia="zh-CN"/>
        </w:rPr>
      </w:pPr>
    </w:p>
    <w:tbl>
      <w:tblPr>
        <w:tblStyle w:val="8"/>
        <w:tblW w:w="560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7"/>
        <w:gridCol w:w="6553"/>
        <w:gridCol w:w="1732"/>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blHeader/>
          <w:jc w:val="center"/>
        </w:trPr>
        <w:tc>
          <w:tcPr>
            <w:tcW w:w="3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黑体" w:cs="黑体"/>
                <w:i w:val="0"/>
                <w:iCs w:val="0"/>
                <w:color w:val="auto"/>
                <w:sz w:val="28"/>
                <w:szCs w:val="28"/>
                <w:u w:val="none"/>
              </w:rPr>
            </w:pPr>
            <w:r>
              <w:rPr>
                <w:rFonts w:hint="eastAsia" w:ascii="宋体" w:hAnsi="宋体" w:eastAsia="黑体" w:cs="黑体"/>
                <w:i w:val="0"/>
                <w:iCs w:val="0"/>
                <w:color w:val="auto"/>
                <w:kern w:val="0"/>
                <w:sz w:val="28"/>
                <w:szCs w:val="28"/>
                <w:u w:val="none"/>
                <w:lang w:val="en-US" w:eastAsia="zh-CN" w:bidi="ar"/>
              </w:rPr>
              <w:t>序号</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黑体" w:cs="黑体"/>
                <w:i w:val="0"/>
                <w:iCs w:val="0"/>
                <w:color w:val="auto"/>
                <w:kern w:val="0"/>
                <w:sz w:val="28"/>
                <w:szCs w:val="28"/>
                <w:u w:val="none"/>
                <w:lang w:val="en-US" w:eastAsia="zh-CN" w:bidi="ar"/>
              </w:rPr>
            </w:pPr>
            <w:r>
              <w:rPr>
                <w:rFonts w:hint="eastAsia" w:ascii="宋体" w:hAnsi="宋体" w:eastAsia="黑体" w:cs="黑体"/>
                <w:i w:val="0"/>
                <w:iCs w:val="0"/>
                <w:color w:val="auto"/>
                <w:kern w:val="0"/>
                <w:sz w:val="28"/>
                <w:szCs w:val="28"/>
                <w:u w:val="none"/>
                <w:lang w:val="en-US" w:eastAsia="zh-CN" w:bidi="ar"/>
              </w:rPr>
              <w:t>调研成果名称</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黑体" w:cs="黑体"/>
                <w:i w:val="0"/>
                <w:iCs w:val="0"/>
                <w:color w:val="auto"/>
                <w:kern w:val="0"/>
                <w:sz w:val="28"/>
                <w:szCs w:val="28"/>
                <w:u w:val="none"/>
                <w:lang w:val="en-US" w:eastAsia="zh-CN" w:bidi="ar"/>
              </w:rPr>
            </w:pPr>
            <w:r>
              <w:rPr>
                <w:rFonts w:hint="eastAsia" w:ascii="宋体" w:hAnsi="宋体" w:eastAsia="黑体" w:cs="黑体"/>
                <w:i w:val="0"/>
                <w:iCs w:val="0"/>
                <w:color w:val="auto"/>
                <w:kern w:val="0"/>
                <w:sz w:val="28"/>
                <w:szCs w:val="28"/>
                <w:u w:val="none"/>
                <w:lang w:val="en-US" w:eastAsia="zh-CN" w:bidi="ar"/>
              </w:rPr>
              <w:t>单位</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黑体" w:cs="黑体"/>
                <w:i w:val="0"/>
                <w:iCs w:val="0"/>
                <w:color w:val="auto"/>
                <w:kern w:val="0"/>
                <w:sz w:val="28"/>
                <w:szCs w:val="28"/>
                <w:u w:val="none"/>
                <w:lang w:val="en-US" w:eastAsia="zh-CN" w:bidi="ar"/>
              </w:rPr>
            </w:pPr>
            <w:r>
              <w:rPr>
                <w:rFonts w:hint="eastAsia" w:ascii="宋体" w:hAnsi="宋体" w:eastAsia="黑体" w:cs="黑体"/>
                <w:i w:val="0"/>
                <w:iCs w:val="0"/>
                <w:color w:val="auto"/>
                <w:kern w:val="0"/>
                <w:sz w:val="28"/>
                <w:szCs w:val="28"/>
                <w:u w:val="none"/>
                <w:lang w:val="en-US" w:eastAsia="zh-CN" w:bidi="ar"/>
              </w:rPr>
              <w:t>拟获奖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高校党建“双创”项目孵化与成果转化机制的实证研究——以华侨大学为例</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华侨大学</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“破圈”与“赋能”双轮驱动：党建引领下的社区共治挑战与进路研究——基于福建省三明市三元区“近邻党建”模式调研</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三明学院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习近平总书记关于调查研究的重要论述的生成逻辑、方法论意蕴与理论贡献</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福建农林大学</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福建省高校二级党组织建设情况研究</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福建师范大学</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“党建引领 多元共治”的全民健康保障体系建构研究——基于福建三明市基层健康治理的实践调研</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集美大学</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基于SWOT分析的大学生党员继续教育现状与质量提升探析</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莆田学院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党建引领“一站式”学生社区治理模式研究——以集美大学为例</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集美大学</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全面从严治党视域下加强和改进新时代高校学生党支部建设研究——基于厦门大学的调研</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县级党委如何压实全面从严治党主体责任？ ——基于对我省F县委的调研</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福建农林大学</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新时代高校机关作风建设常态化的基本路径研究</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闽江学院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新时代高校“一站式”学生社区党建工作体系建构研究报告</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福州大学</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w:t>
            </w:r>
          </w:p>
        </w:tc>
        <w:tc>
          <w:tcPr>
            <w:tcW w:w="3225"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党建引领打造多维融合省级区域医疗中心建设路径的探索与思考</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莆田学院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公立医院党支部党务管理评价体系构建研究</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福建医科大学</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高质量党建赋能高校思政课教学内涵式发展的路径研究</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闽江学院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新时代提升应用型高校学生党员发展质量研究</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闽江学院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福州大学研究生党支部建设情况调研报告</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福州大学</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17</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网络意识形态领导力视域下引导党员干部在网络空间发挥作用研究</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福州大学</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福建廉洁文化历史遗迹及其相关文献研究</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闽南师范大学</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19</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高校党务干部职业认同现状与提升策略研究</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厦门理工学院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“强国行”专项行动背景下高校教师党支部书记“双带头人”队伍建设问题研究—基于三明学院的调研</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三明学院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人才培养视角下医学院校学生党员队伍建设研究</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福建医科大学</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22</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构建“党建+实践”育人模式，探索党建助力乡村振兴建设路径</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闽江学院</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23</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乡村振兴视域下党建引领美丽乡村建设优化路径探析——以永定区湖雷镇上南村为例</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龙岩学院</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24</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追寻领袖足迹，感悟“两山”理念——党建引领视域下福建省集体林权制度改革理论认知与实践履行调研报告</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厦门理工学院</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人工智能赋能公安院校思想政治教育高质量发展的实践路径</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福建警察学院</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26</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高校党支部功能发挥范式创新研究——基于厦门华厦学院“一融双优”党建实践</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厦门华厦学院</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27</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民办高校基层党组织政治功能和组织功能现状及提升路径研究</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泉州轻工职业学院</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28</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全面从严治党视域下高校党务干部队伍建设的探索与路径</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厦门理工学院</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29</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党建引领民营经济健康发展高质量发展研究</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厦门理工学院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红色文化数字化赋能高校思政课的现状分析与路径优化研究</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莆田学院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31</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新时代应用型高校意识形态阵地建设及风险防控机制研究</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闽江学院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32</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党建引领乡村全面振兴的问题与对策</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福建农林大学</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33</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党团楼一体化赋能学生社区育人落地见效研究</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三明学院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34</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构建“三链”育人体系：高校学生党建工作室建设运用科技特派员制度实践经验</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集美大学诚毅学院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35</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加强新时代廉洁文化建设研究——龙岩市客家家训融入新时代廉洁文化建设的调查报告</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闽西职业技术学院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36</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全面从严治党背景下地方性高校组织育人体系的构建与实践</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三明学院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37</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产教融合视域下校企党建共建育人模式调研</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集美大学</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38</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强化党建引领促进乡村振兴的模式分析及对策研究——以龙岩市为例</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龙岩学院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39</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以党组织领导的校长负责制推进学校治理体系的完善</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福建教育学院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40</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“四下基层”融入高校学生党支部基层党组织建设的探索与实践</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黎明职业大学</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41</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党建引领农村集体经济发展的路径研究</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福建农林大学</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42</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晋江非公企业党建与非公有制经济互嵌关系的历史考察与经验启示</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黎明职业大学</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43</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地方本科高校毕业生党员高质量充分就业路径探析调研报告</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三明学院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44</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创造1+N学生党员培育机制，打造“一体四翼”新平台</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福建理工大学</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45</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高校深抓党建促“三茶统筹”实践调研报告</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宁德师范学院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46</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农村脱贫、振兴与共富的理论演进、实践探索与经验启示——以“三进下党”为例</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泉州师范学院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47</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中国共产党人精神谱系内涵诠释思政课教学调研报告</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泉州信息工程学院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48</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“晋江经验”视域下党建引领民营经济高质量发展的研究——以福建晋江非公企业为例</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泉州职业技术大学</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49</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color w:val="000000"/>
                <w:kern w:val="0"/>
                <w:sz w:val="24"/>
                <w:szCs w:val="24"/>
                <w:u w:val="none"/>
                <w:lang w:val="en-US" w:eastAsia="zh-CN" w:bidi="ar"/>
              </w:rPr>
              <w:t>党建引领下艺术类大学生课程思政建设面临的问题及对策研究</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福州工商学院</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w:t>
            </w:r>
          </w:p>
        </w:tc>
        <w:tc>
          <w:tcPr>
            <w:tcW w:w="3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以党建品牌培育为切入点 纵深探究党建业务融合发展新路径</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sz w:val="32"/>
                <w:szCs w:val="32"/>
                <w:u w:val="none"/>
              </w:rPr>
            </w:pPr>
            <w:r>
              <w:rPr>
                <w:rFonts w:hint="eastAsia" w:ascii="仿宋_GB2312" w:hAnsi="宋体" w:eastAsia="仿宋_GB2312" w:cs="仿宋_GB2312"/>
                <w:i w:val="0"/>
                <w:iCs w:val="0"/>
                <w:color w:val="000000"/>
                <w:kern w:val="0"/>
                <w:sz w:val="24"/>
                <w:szCs w:val="24"/>
                <w:u w:val="none"/>
                <w:lang w:val="en-US" w:eastAsia="zh-CN" w:bidi="ar"/>
              </w:rPr>
              <w:t>三明市委教育工委（三明市教育局）</w:t>
            </w: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三等奖</w:t>
            </w:r>
          </w:p>
        </w:tc>
      </w:tr>
    </w:tbl>
    <w:p>
      <w:pPr>
        <w:keepNext w:val="0"/>
        <w:keepLines w:val="0"/>
        <w:pageBreakBefore w:val="0"/>
        <w:widowControl w:val="0"/>
        <w:kinsoku/>
        <w:wordWrap/>
        <w:overflowPunct/>
        <w:topLinePunct w:val="0"/>
        <w:autoSpaceDE/>
        <w:autoSpaceDN/>
        <w:bidi w:val="0"/>
        <w:adjustRightInd/>
        <w:snapToGrid/>
        <w:spacing w:line="200" w:lineRule="exact"/>
        <w:ind w:firstLine="1056" w:firstLineChars="330"/>
        <w:textAlignment w:val="auto"/>
        <w:rPr>
          <w:rFonts w:hint="eastAsia" w:ascii="宋体" w:hAnsi="宋体" w:eastAsia="仿宋_GB2312" w:cs="仿宋_GB2312"/>
          <w:b w:val="0"/>
          <w:color w:val="auto"/>
          <w:kern w:val="0"/>
          <w:sz w:val="32"/>
          <w:szCs w:val="32"/>
          <w:lang w:val="en-US" w:eastAsia="zh-CN" w:bidi="ar"/>
        </w:rPr>
      </w:pPr>
    </w:p>
    <w:sectPr>
      <w:footerReference r:id="rId3" w:type="default"/>
      <w:pgSz w:w="11906" w:h="16838"/>
      <w:pgMar w:top="1984" w:right="1474" w:bottom="1871" w:left="1587" w:header="851" w:footer="992" w:gutter="0"/>
      <w:pgNumType w:fmt="decimal"/>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MzZiNGM3OTc1NTkxNzIzODQxYjI4ZTI5Y2YyMGEifQ=="/>
  </w:docVars>
  <w:rsids>
    <w:rsidRoot w:val="00000000"/>
    <w:rsid w:val="054908FA"/>
    <w:rsid w:val="0BF21DE3"/>
    <w:rsid w:val="10C14B2F"/>
    <w:rsid w:val="10DF0772"/>
    <w:rsid w:val="128A6082"/>
    <w:rsid w:val="19B7162E"/>
    <w:rsid w:val="1EE5A1EF"/>
    <w:rsid w:val="1F406077"/>
    <w:rsid w:val="208F1FFE"/>
    <w:rsid w:val="22E96AE2"/>
    <w:rsid w:val="238F72B6"/>
    <w:rsid w:val="23DD0EAD"/>
    <w:rsid w:val="245F12E5"/>
    <w:rsid w:val="295A7BE6"/>
    <w:rsid w:val="2A383552"/>
    <w:rsid w:val="2BFC540A"/>
    <w:rsid w:val="2FF46A18"/>
    <w:rsid w:val="30846B8E"/>
    <w:rsid w:val="33FAD92A"/>
    <w:rsid w:val="33FF0826"/>
    <w:rsid w:val="35FA6726"/>
    <w:rsid w:val="3BD25551"/>
    <w:rsid w:val="3BEC7C87"/>
    <w:rsid w:val="3DCD2A6B"/>
    <w:rsid w:val="3EB017C6"/>
    <w:rsid w:val="3FA52852"/>
    <w:rsid w:val="3FF34F8A"/>
    <w:rsid w:val="4219798B"/>
    <w:rsid w:val="430B7913"/>
    <w:rsid w:val="4C32143C"/>
    <w:rsid w:val="55F949E0"/>
    <w:rsid w:val="567B7599"/>
    <w:rsid w:val="5D36E21A"/>
    <w:rsid w:val="5F3D1A0A"/>
    <w:rsid w:val="659EE33B"/>
    <w:rsid w:val="694B4A29"/>
    <w:rsid w:val="6AD924B7"/>
    <w:rsid w:val="6DE61F83"/>
    <w:rsid w:val="7682193E"/>
    <w:rsid w:val="7AD54FF1"/>
    <w:rsid w:val="7B5178B1"/>
    <w:rsid w:val="7F3D4116"/>
    <w:rsid w:val="7FFE788F"/>
    <w:rsid w:val="7FFF73F5"/>
    <w:rsid w:val="97F428DF"/>
    <w:rsid w:val="AFAE32D4"/>
    <w:rsid w:val="CFFF70CF"/>
    <w:rsid w:val="F7FFE539"/>
    <w:rsid w:val="FBBFE422"/>
    <w:rsid w:val="FF2F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kern w:val="0"/>
      <w:sz w:val="20"/>
      <w:szCs w:val="20"/>
    </w:rPr>
  </w:style>
  <w:style w:type="paragraph" w:styleId="3">
    <w:name w:val="Body Text"/>
    <w:basedOn w:val="1"/>
    <w:next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31"/>
    <w:basedOn w:val="10"/>
    <w:qFormat/>
    <w:uiPriority w:val="0"/>
    <w:rPr>
      <w:rFonts w:hint="eastAsia" w:ascii="仿宋_GB2312" w:eastAsia="仿宋_GB2312" w:cs="仿宋_GB2312"/>
      <w:color w:val="000000"/>
      <w:sz w:val="20"/>
      <w:szCs w:val="20"/>
      <w:u w:val="none"/>
    </w:rPr>
  </w:style>
  <w:style w:type="character" w:customStyle="1" w:styleId="12">
    <w:name w:val="font11"/>
    <w:basedOn w:val="10"/>
    <w:qFormat/>
    <w:uiPriority w:val="0"/>
    <w:rPr>
      <w:rFonts w:hint="eastAsia" w:ascii="仿宋_GB2312" w:eastAsia="仿宋_GB2312" w:cs="仿宋_GB2312"/>
      <w:color w:val="000000"/>
      <w:sz w:val="20"/>
      <w:szCs w:val="20"/>
      <w:u w:val="none"/>
    </w:rPr>
  </w:style>
  <w:style w:type="character" w:customStyle="1" w:styleId="13">
    <w:name w:val="font21"/>
    <w:basedOn w:val="10"/>
    <w:qFormat/>
    <w:uiPriority w:val="0"/>
    <w:rPr>
      <w:rFonts w:ascii="华文中宋" w:hAnsi="华文中宋" w:eastAsia="华文中宋" w:cs="华文中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5309</Words>
  <Characters>5645</Characters>
  <Lines>0</Lines>
  <Paragraphs>0</Paragraphs>
  <TotalTime>3</TotalTime>
  <ScaleCrop>false</ScaleCrop>
  <LinksUpToDate>false</LinksUpToDate>
  <CharactersWithSpaces>5764</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Administrator</cp:lastModifiedBy>
  <cp:lastPrinted>2024-09-20T10:14:00Z</cp:lastPrinted>
  <dcterms:modified xsi:type="dcterms:W3CDTF">2025-01-26T03:50:03Z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3B5632051C1B454B8F3205818B2CEC28</vt:lpwstr>
  </property>
</Properties>
</file>