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rPr>
          <w:rFonts w:hint="eastAsia" w:ascii="方正小标宋简体" w:hAnsi="方正小标宋简体" w:eastAsia="方正小标宋简体" w:cs="方正小标宋简体"/>
          <w:b w:val="0"/>
          <w:bCs w:val="0"/>
          <w:color w:val="000000"/>
          <w:spacing w:val="57"/>
          <w:sz w:val="96"/>
          <w:szCs w:val="96"/>
        </w:rPr>
      </w:pPr>
      <w:r>
        <w:rPr>
          <w:rFonts w:hint="eastAsia" w:ascii="方正小标宋简体" w:hAnsi="方正小标宋简体" w:eastAsia="方正小标宋简体" w:cs="方正小标宋简体"/>
          <w:b w:val="0"/>
          <w:bCs w:val="0"/>
          <w:color w:val="FF0000"/>
          <w:spacing w:val="57"/>
          <w:w w:val="66"/>
          <w:sz w:val="96"/>
          <w:szCs w:val="96"/>
        </w:rPr>
        <w:t>福州黎明职业技术学院</w:t>
      </w:r>
    </w:p>
    <w:p>
      <w:pPr>
        <w:spacing w:line="480" w:lineRule="exact"/>
        <w:jc w:val="center"/>
        <w:rPr>
          <w:rFonts w:hint="eastAsia" w:ascii="方正大标宋简体" w:eastAsia="方正大标宋简体"/>
          <w:sz w:val="36"/>
          <w:szCs w:val="27"/>
        </w:rPr>
      </w:pPr>
    </w:p>
    <w:p>
      <w:pPr>
        <w:pStyle w:val="3"/>
        <w:rPr>
          <w:rFonts w:hint="eastAsia"/>
        </w:rPr>
      </w:pPr>
    </w:p>
    <w:p>
      <w:pPr>
        <w:pStyle w:val="3"/>
        <w:rPr>
          <w:rFonts w:hint="eastAsia"/>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榕黎院〔2022〕69号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val="0"/>
          <w:color w:val="auto"/>
          <w:kern w:val="2"/>
          <w:sz w:val="44"/>
          <w:szCs w:val="44"/>
          <w:lang w:bidi="ar-SA"/>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1905</wp:posOffset>
                </wp:positionV>
                <wp:extent cx="5715000" cy="0"/>
                <wp:effectExtent l="0" t="22225" r="0" b="3492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444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5pt;margin-top:0.15pt;height:0pt;width:450pt;z-index:251659264;mso-width-relative:page;mso-height-relative:page;" filled="f" stroked="t" coordsize="21600,21600" o:gfxdata="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pRXPdMAAAAFAQAADwAAAAAAAAABACAAAAAiAAAAZHJzL2Rvd25yZXYueG1sUEsBAhQAFAAA&#10;AAgAh07iQL6GNX70AQAA5QMAAA4AAAAAAAAAAQAgAAAAIgEAAGRycy9lMm9Eb2MueG1sUEsFBgAA&#10;AAAGAAYAWQEAAIgFAAAAAA==&#10;">
                <v:fill on="f" focussize="0,0"/>
                <v:stroke weight="3.5pt" color="#FF0000" joinstyle="round"/>
                <v:imagedata o:title=""/>
                <o:lock v:ext="edit" aspectratio="f"/>
              </v:line>
            </w:pict>
          </mc:Fallback>
        </mc:AlternateConten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福州黎明职业技术学院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w:t>
      </w:r>
      <w:r>
        <w:rPr>
          <w:rFonts w:hint="eastAsia" w:ascii="方正小标宋简体" w:hAnsi="方正小标宋简体" w:eastAsia="方正小标宋简体" w:cs="方正小标宋简体"/>
          <w:b w:val="0"/>
          <w:bCs w:val="0"/>
          <w:color w:val="000000"/>
          <w:kern w:val="0"/>
          <w:sz w:val="44"/>
          <w:szCs w:val="44"/>
          <w:lang w:val="en-US" w:eastAsia="zh-CN"/>
        </w:rPr>
        <w:t>21</w:t>
      </w:r>
      <w:r>
        <w:rPr>
          <w:rFonts w:hint="eastAsia" w:ascii="方正小标宋简体" w:hAnsi="方正小标宋简体" w:eastAsia="方正小标宋简体" w:cs="方正小标宋简体"/>
          <w:b w:val="0"/>
          <w:bCs w:val="0"/>
          <w:color w:val="000000"/>
          <w:kern w:val="0"/>
          <w:sz w:val="44"/>
          <w:szCs w:val="44"/>
        </w:rPr>
        <w:t>-20</w:t>
      </w:r>
      <w:r>
        <w:rPr>
          <w:rFonts w:hint="eastAsia" w:ascii="方正小标宋简体" w:hAnsi="方正小标宋简体" w:eastAsia="方正小标宋简体" w:cs="方正小标宋简体"/>
          <w:b w:val="0"/>
          <w:bCs w:val="0"/>
          <w:color w:val="000000"/>
          <w:kern w:val="0"/>
          <w:sz w:val="44"/>
          <w:szCs w:val="44"/>
          <w:lang w:val="en-US" w:eastAsia="zh-CN"/>
        </w:rPr>
        <w:t>22</w:t>
      </w:r>
      <w:r>
        <w:rPr>
          <w:rFonts w:hint="eastAsia" w:ascii="方正小标宋简体" w:hAnsi="方正小标宋简体" w:eastAsia="方正小标宋简体" w:cs="方正小标宋简体"/>
          <w:b w:val="0"/>
          <w:bCs w:val="0"/>
          <w:color w:val="000000"/>
          <w:kern w:val="0"/>
          <w:sz w:val="44"/>
          <w:szCs w:val="44"/>
        </w:rPr>
        <w:t>学年度信息公开工作报告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根据教育部办公厅《关于做好</w:t>
      </w:r>
      <w:r>
        <w:rPr>
          <w:rFonts w:hint="eastAsia" w:ascii="仿宋_GB2312" w:hAnsi="仿宋_GB2312" w:eastAsia="仿宋_GB2312" w:cs="仿宋_GB2312"/>
          <w:color w:val="000000"/>
          <w:kern w:val="0"/>
          <w:sz w:val="32"/>
          <w:szCs w:val="32"/>
          <w:lang w:val="en-US" w:eastAsia="zh-CN"/>
        </w:rPr>
        <w:t>2022年高校</w:t>
      </w:r>
      <w:r>
        <w:rPr>
          <w:rFonts w:hint="eastAsia" w:ascii="仿宋_GB2312" w:hAnsi="仿宋_GB2312" w:eastAsia="仿宋_GB2312" w:cs="仿宋_GB2312"/>
          <w:color w:val="000000"/>
          <w:kern w:val="0"/>
          <w:sz w:val="32"/>
          <w:szCs w:val="32"/>
        </w:rPr>
        <w:t>信息公开年度报告工作的通知》精神</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教办厅函〔202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76号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结合</w:t>
      </w:r>
      <w:r>
        <w:rPr>
          <w:rFonts w:hint="eastAsia" w:ascii="仿宋_GB2312" w:hAnsi="仿宋_GB2312" w:eastAsia="仿宋_GB2312" w:cs="仿宋_GB2312"/>
          <w:color w:val="000000"/>
          <w:kern w:val="0"/>
          <w:sz w:val="32"/>
          <w:szCs w:val="32"/>
        </w:rPr>
        <w:t>我院实际情况，对信息公开工作进行了梳理查看，并编制公开学院20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学年度信息公开工作报告</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数据统计时间范围为20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年9月1日至20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年8月31日</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一、概述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学年度，</w:t>
      </w:r>
      <w:r>
        <w:rPr>
          <w:rFonts w:hint="eastAsia" w:ascii="仿宋_GB2312" w:hAnsi="仿宋_GB2312" w:eastAsia="仿宋_GB2312" w:cs="仿宋_GB2312"/>
          <w:color w:val="000000"/>
          <w:kern w:val="0"/>
          <w:sz w:val="32"/>
          <w:szCs w:val="32"/>
          <w:lang w:eastAsia="zh-CN"/>
        </w:rPr>
        <w:t>我院始终</w:t>
      </w:r>
      <w:r>
        <w:rPr>
          <w:rFonts w:hint="eastAsia" w:ascii="仿宋_GB2312" w:hAnsi="仿宋_GB2312" w:eastAsia="仿宋_GB2312" w:cs="仿宋_GB2312"/>
          <w:kern w:val="0"/>
          <w:sz w:val="32"/>
          <w:szCs w:val="32"/>
        </w:rPr>
        <w:t>坚持以习近平新时代中国特色社会主义思想为指导，全面贯彻党的十九大精神</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全国教育大会精神</w:t>
      </w:r>
      <w:r>
        <w:rPr>
          <w:rFonts w:hint="eastAsia" w:ascii="仿宋_GB2312" w:hAnsi="仿宋_GB2312" w:eastAsia="仿宋_GB2312" w:cs="仿宋_GB2312"/>
          <w:color w:val="000000"/>
          <w:kern w:val="0"/>
          <w:sz w:val="32"/>
          <w:szCs w:val="32"/>
        </w:rPr>
        <w:t>，按照教育部、省教育厅关于高等学校信息公开工作部署</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color w:val="000000"/>
          <w:kern w:val="0"/>
          <w:sz w:val="32"/>
          <w:szCs w:val="32"/>
        </w:rPr>
        <w:t>要求，紧紧围绕学院事业发展的中心任务，及时、丰富公开内容，调整充实信息公开工作领导小组，完善公开制度，把推进信息公开作为加强民主管理、改进工作作风、提高服务效能的关键举措，保障了师生员工、社会公众和其他组织依法及时获取学院信息，提高了学院工作的透明度，取得了较好成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楷体" w:hAnsi="楷体" w:eastAsia="楷体" w:cs="楷体"/>
          <w:b/>
          <w:bCs/>
          <w:color w:val="000000"/>
          <w:kern w:val="0"/>
          <w:sz w:val="32"/>
          <w:szCs w:val="32"/>
        </w:rPr>
        <w:t>　（一）加强组织领导，全面落实信息公开工作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学院重视信息公开工作，通过学院领导班子会、党委会、办公会、工会会等会议，及时学习传达上级有关文件精神，统一思想认识，加强组织领导，狠抓工作落实；学院各相关部门负责各自工作职责范围内的信息公开工作，各部门主要负责人为信息公开第一责任人，明确职责，细化分工；加强宣传力度，动员广大师生积极参与信息公开工作，保证了信息公开工作的有效开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楷体" w:hAnsi="楷体" w:eastAsia="楷体" w:cs="楷体"/>
          <w:b/>
          <w:bCs/>
          <w:color w:val="000000"/>
          <w:kern w:val="0"/>
          <w:sz w:val="32"/>
          <w:szCs w:val="32"/>
        </w:rPr>
        <w:t>（二）丰富公开形式，加强信息公开平台建设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学院通过进一步增强公开载体建设，拓宽了信息公开渠道。一是充分利用校园网站，将其作为对外信息公开的重要载体，不断丰富公开内容，着力提升公开信息的真实性、实效性和针对性。二是在校务公开平台的基础上，充分利用办公自动化平台及各类会议、校园广播、宣传栏、</w:t>
      </w:r>
      <w:r>
        <w:rPr>
          <w:rFonts w:hint="eastAsia" w:ascii="仿宋_GB2312" w:hAnsi="仿宋_GB2312" w:eastAsia="仿宋_GB2312" w:cs="仿宋_GB2312"/>
          <w:color w:val="000000"/>
          <w:kern w:val="0"/>
          <w:sz w:val="32"/>
          <w:szCs w:val="32"/>
          <w:lang w:val="en-US" w:eastAsia="zh-CN"/>
        </w:rPr>
        <w:t>LED</w:t>
      </w:r>
      <w:r>
        <w:rPr>
          <w:rFonts w:hint="eastAsia" w:ascii="仿宋_GB2312" w:hAnsi="仿宋_GB2312" w:eastAsia="仿宋_GB2312" w:cs="仿宋_GB2312"/>
          <w:color w:val="000000"/>
          <w:kern w:val="0"/>
          <w:sz w:val="32"/>
          <w:szCs w:val="32"/>
        </w:rPr>
        <w:t>屏等多种形式，及时公开信息。三是坚持重大事项过程公开机制，通过工作会、研讨会、座谈会等不同形式，对学院各项重大事项和政策向校内广泛公开征求意见，使政策的制定更具科学性和可行性。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楷体" w:hAnsi="楷体" w:eastAsia="楷体" w:cs="楷体"/>
          <w:b/>
          <w:bCs/>
          <w:color w:val="000000"/>
          <w:kern w:val="0"/>
          <w:sz w:val="32"/>
          <w:szCs w:val="32"/>
        </w:rPr>
      </w:pPr>
      <w:r>
        <w:rPr>
          <w:rFonts w:hint="eastAsia" w:ascii="仿宋_GB2312" w:hAnsi="仿宋_GB2312" w:eastAsia="仿宋_GB2312" w:cs="仿宋_GB2312"/>
          <w:color w:val="000000"/>
          <w:kern w:val="0"/>
          <w:sz w:val="32"/>
          <w:szCs w:val="32"/>
        </w:rPr>
        <w:t>　</w:t>
      </w:r>
      <w:r>
        <w:rPr>
          <w:rFonts w:hint="eastAsia" w:ascii="楷体" w:hAnsi="楷体" w:eastAsia="楷体" w:cs="楷体"/>
          <w:b/>
          <w:bCs/>
          <w:color w:val="000000"/>
          <w:kern w:val="0"/>
          <w:sz w:val="32"/>
          <w:szCs w:val="32"/>
        </w:rPr>
        <w:t>　（三）完善公开内容，加强重点领域信息公开力度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学院认真贯彻</w:t>
      </w:r>
      <w:r>
        <w:rPr>
          <w:rFonts w:hint="eastAsia" w:ascii="仿宋_GB2312" w:hAnsi="仿宋_GB2312" w:eastAsia="仿宋_GB2312" w:cs="仿宋_GB2312"/>
          <w:color w:val="000000"/>
          <w:kern w:val="0"/>
          <w:sz w:val="32"/>
          <w:szCs w:val="32"/>
          <w:lang w:eastAsia="zh-CN"/>
        </w:rPr>
        <w:t>相关</w:t>
      </w:r>
      <w:r>
        <w:rPr>
          <w:rFonts w:hint="eastAsia" w:ascii="仿宋_GB2312" w:hAnsi="仿宋_GB2312" w:eastAsia="仿宋_GB2312" w:cs="仿宋_GB2312"/>
          <w:color w:val="000000"/>
          <w:kern w:val="0"/>
          <w:sz w:val="32"/>
          <w:szCs w:val="32"/>
        </w:rPr>
        <w:t>文件要求，借助信息公开的渠道和途径，完善信息公开的项目内容，同时加大重点领域和重大活动的公开程度。通过学院网站和办公平台，及时发布各类人事信息，实现了人事任免、干部选拔、职称评聘等工作全过程的公开。同时学院将公开征求意见作为决策的必经程序，在学院制定重要规章制度和文件过程中，通过召开院领导班子会议、专题会议、座谈会等多种方式，公开征求、广泛听取师生员工意见，提高了决策过程的透明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本学年，在学院</w:t>
      </w:r>
      <w:r>
        <w:rPr>
          <w:rFonts w:hint="eastAsia" w:ascii="仿宋_GB2312" w:hAnsi="仿宋_GB2312" w:eastAsia="仿宋_GB2312" w:cs="仿宋_GB2312"/>
          <w:color w:val="000000"/>
          <w:kern w:val="0"/>
          <w:sz w:val="32"/>
          <w:szCs w:val="32"/>
          <w:lang w:eastAsia="zh-CN"/>
        </w:rPr>
        <w:t>党政领导</w:t>
      </w:r>
      <w:r>
        <w:rPr>
          <w:rFonts w:hint="eastAsia" w:ascii="仿宋_GB2312" w:hAnsi="仿宋_GB2312" w:eastAsia="仿宋_GB2312" w:cs="仿宋_GB2312"/>
          <w:color w:val="000000"/>
          <w:kern w:val="0"/>
          <w:sz w:val="32"/>
          <w:szCs w:val="32"/>
        </w:rPr>
        <w:t>的高度重视下，信息公开工作得</w:t>
      </w:r>
      <w:r>
        <w:rPr>
          <w:rFonts w:hint="eastAsia" w:ascii="仿宋_GB2312" w:hAnsi="仿宋_GB2312" w:eastAsia="仿宋_GB2312" w:cs="仿宋_GB2312"/>
          <w:color w:val="000000"/>
          <w:kern w:val="0"/>
          <w:sz w:val="32"/>
          <w:szCs w:val="32"/>
          <w:lang w:eastAsia="zh-CN"/>
        </w:rPr>
        <w:t>到顺利开展</w:t>
      </w:r>
      <w:r>
        <w:rPr>
          <w:rFonts w:hint="eastAsia" w:ascii="仿宋_GB2312" w:hAnsi="仿宋_GB2312" w:eastAsia="仿宋_GB2312" w:cs="仿宋_GB2312"/>
          <w:color w:val="000000"/>
          <w:kern w:val="0"/>
          <w:sz w:val="32"/>
          <w:szCs w:val="32"/>
        </w:rPr>
        <w:t>，各项管理工作的透明度进一步增强，充分保障了学院广大师生员工和社会公众的知情权、参与权和监督权。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　二、主动公开情况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学年，我院按照上级文件规定的要求，以公开为原则，以不公开为例外，主动公开学院信息。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kern w:val="0"/>
          <w:sz w:val="32"/>
          <w:szCs w:val="32"/>
        </w:rPr>
      </w:pPr>
      <w:r>
        <w:rPr>
          <w:rFonts w:hint="eastAsia" w:ascii="楷体" w:hAnsi="楷体" w:eastAsia="楷体" w:cs="楷体"/>
          <w:b/>
          <w:bCs/>
          <w:color w:val="000000"/>
          <w:kern w:val="0"/>
          <w:sz w:val="32"/>
          <w:szCs w:val="32"/>
        </w:rPr>
        <w:t>（一）主动公开信息的数量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640" w:hanging="640" w:hanging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主动公开各类信息</w:t>
      </w:r>
      <w:r>
        <w:rPr>
          <w:rFonts w:hint="eastAsia" w:ascii="仿宋_GB2312" w:hAnsi="仿宋_GB2312" w:eastAsia="仿宋_GB2312" w:cs="仿宋_GB2312"/>
          <w:color w:val="000000"/>
          <w:kern w:val="0"/>
          <w:sz w:val="32"/>
          <w:szCs w:val="32"/>
          <w:lang w:val="en-US" w:eastAsia="zh-CN"/>
        </w:rPr>
        <w:t>125</w:t>
      </w:r>
      <w:r>
        <w:rPr>
          <w:rFonts w:hint="eastAsia" w:ascii="仿宋_GB2312" w:hAnsi="仿宋_GB2312" w:eastAsia="仿宋_GB2312" w:cs="仿宋_GB2312"/>
          <w:color w:val="000000"/>
          <w:kern w:val="0"/>
          <w:sz w:val="32"/>
          <w:szCs w:val="32"/>
        </w:rPr>
        <w:t>条，其中全文电子化达100%。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rPr>
      </w:pPr>
      <w:r>
        <w:rPr>
          <w:rFonts w:hint="eastAsia" w:ascii="楷体" w:hAnsi="楷体" w:eastAsia="楷体" w:cs="楷体"/>
          <w:b/>
          <w:bCs/>
          <w:color w:val="000000"/>
          <w:kern w:val="0"/>
          <w:sz w:val="32"/>
          <w:szCs w:val="32"/>
        </w:rPr>
        <w:t>（二）主动公开信息的渠道和方式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学院网站、信息公开专栏、办公系统及学院二级机构网站等网络平台；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 xml:space="preserve"> 2.</w:t>
      </w:r>
      <w:r>
        <w:rPr>
          <w:rFonts w:hint="eastAsia" w:ascii="仿宋_GB2312" w:hAnsi="仿宋_GB2312" w:eastAsia="仿宋_GB2312" w:cs="仿宋_GB2312"/>
          <w:color w:val="000000"/>
          <w:kern w:val="0"/>
          <w:sz w:val="32"/>
          <w:szCs w:val="32"/>
        </w:rPr>
        <w:t>文件、简报、学生手册、教师手册、统计报表等纸质资料；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 xml:space="preserve"> 3.</w:t>
      </w:r>
      <w:r>
        <w:rPr>
          <w:rFonts w:hint="eastAsia" w:ascii="仿宋_GB2312" w:hAnsi="仿宋_GB2312" w:eastAsia="仿宋_GB2312" w:cs="仿宋_GB2312"/>
          <w:color w:val="000000"/>
          <w:kern w:val="0"/>
          <w:sz w:val="32"/>
          <w:szCs w:val="32"/>
        </w:rPr>
        <w:t>校园广播、电子显示屏、信息公告栏、宣传栏等；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 xml:space="preserve"> 4.</w:t>
      </w:r>
      <w:r>
        <w:rPr>
          <w:rFonts w:hint="eastAsia" w:ascii="仿宋_GB2312" w:hAnsi="仿宋_GB2312" w:eastAsia="仿宋_GB2312" w:cs="仿宋_GB2312"/>
          <w:color w:val="000000"/>
          <w:kern w:val="0"/>
          <w:sz w:val="32"/>
          <w:szCs w:val="32"/>
        </w:rPr>
        <w:t>院领导班子会议、院办公会议、专题会议、全体教职工大会和各类座谈会、情况通报会等会议形式；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 xml:space="preserve"> 5.</w:t>
      </w:r>
      <w:r>
        <w:rPr>
          <w:rFonts w:hint="eastAsia" w:ascii="仿宋_GB2312" w:hAnsi="仿宋_GB2312" w:eastAsia="仿宋_GB2312" w:cs="仿宋_GB2312"/>
          <w:color w:val="000000"/>
          <w:kern w:val="0"/>
          <w:sz w:val="32"/>
          <w:szCs w:val="32"/>
        </w:rPr>
        <w:t>其他方式。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楷体" w:hAnsi="楷体" w:eastAsia="楷体" w:cs="楷体"/>
          <w:b/>
          <w:bCs/>
          <w:color w:val="000000"/>
          <w:kern w:val="0"/>
          <w:sz w:val="32"/>
          <w:szCs w:val="32"/>
        </w:rPr>
        <w:t>（三）公开内容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 xml:space="preserve"> 1.</w:t>
      </w:r>
      <w:r>
        <w:rPr>
          <w:rFonts w:hint="eastAsia" w:ascii="仿宋_GB2312" w:hAnsi="仿宋_GB2312" w:eastAsia="仿宋_GB2312" w:cs="仿宋_GB2312"/>
          <w:color w:val="000000"/>
          <w:kern w:val="0"/>
          <w:sz w:val="32"/>
          <w:szCs w:val="32"/>
        </w:rPr>
        <w:t>学院基本情况的信息。包括学院办学规模、领导班子简介及分工、机构设置、专业设置、在校生情况、教师和专业技术人员情况；学院章程及制定的各项规章制度，包括一学年来学院制定和发布的各类规范性文件；职工代表大会审议的行政工作报告和相关报告；学院学术委员会相关制度；学院发展规划、年度工作计划及重点工作安排；信息公开年度工作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招生考试信息。招生简章；考生录取信息查询渠道和办法，招生咨询及考生申诉渠道。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财务资产及收费信息。财务规章制度、年度财务收支情况、四项费用及明细等财务信息；仪器设备、图书、教材等物资设备采购等。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人事师资信息。教职工培训、干部任免、师资招聘、职称评审办法和结果、岗位设置与聘用办法等有关人事工作信息。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教学质量信息。系部划分、专业设置、新增及停招专业；全院开设课程总数、实践教学比例；就业政策及就业指导信息；毕业生规模、结构和就业率；年度人才培养质量报告。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学生管理服务信息。学生学籍管理办法；学生奖学金、助学金、学费减免、助学贷款、勤工俭学的相关管理规定；学生奖励处分办法及申诉办法。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学风建设信息。学风建设方案，学术规范制度，学术及教学不端行为的查处机制及处理决定。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对外交流与合作信息。</w:t>
      </w:r>
      <w:r>
        <w:rPr>
          <w:rFonts w:hint="eastAsia" w:ascii="仿宋_GB2312" w:hAnsi="仿宋_GB2312" w:eastAsia="仿宋_GB2312" w:cs="仿宋_GB2312"/>
          <w:color w:val="000000"/>
          <w:kern w:val="0"/>
          <w:sz w:val="32"/>
          <w:szCs w:val="32"/>
          <w:lang w:eastAsia="zh-CN"/>
        </w:rPr>
        <w:t>受疫情影响，本学年未开展对外交流活动</w:t>
      </w:r>
      <w:r>
        <w:rPr>
          <w:rFonts w:hint="eastAsia" w:ascii="仿宋_GB2312" w:hAnsi="仿宋_GB2312" w:eastAsia="仿宋_GB2312" w:cs="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学院公共资源信息。通过信息资源共享平台，公开学院教室、公用房、教学资源、大型仪器设备等公共资源信息与图书藏量。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与师生员工利益密切相关和社会比较关注的重要事项。学院科研项目申报、科研奖励制度和科研项目结果等科研管理信息；饮食服务、校园安全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后勤保障</w:t>
      </w:r>
      <w:r>
        <w:rPr>
          <w:rFonts w:hint="eastAsia" w:ascii="仿宋_GB2312" w:hAnsi="仿宋_GB2312" w:eastAsia="仿宋_GB2312" w:cs="仿宋_GB2312"/>
          <w:color w:val="000000"/>
          <w:kern w:val="0"/>
          <w:sz w:val="32"/>
          <w:szCs w:val="32"/>
          <w:lang w:eastAsia="zh-CN"/>
        </w:rPr>
        <w:t>、新冠肺炎疫情防控等</w:t>
      </w:r>
      <w:r>
        <w:rPr>
          <w:rFonts w:hint="eastAsia" w:ascii="仿宋_GB2312" w:hAnsi="仿宋_GB2312" w:eastAsia="仿宋_GB2312" w:cs="仿宋_GB2312"/>
          <w:color w:val="000000"/>
          <w:kern w:val="0"/>
          <w:sz w:val="32"/>
          <w:szCs w:val="32"/>
        </w:rPr>
        <w:t>信息。学院突发事件的应急预案、预警信息，涉及学院的重大事件的调查和处理情况等信息。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楷体" w:hAnsi="楷体" w:eastAsia="楷体" w:cs="楷体"/>
          <w:b/>
          <w:bCs/>
          <w:color w:val="000000"/>
          <w:kern w:val="0"/>
          <w:sz w:val="32"/>
          <w:szCs w:val="32"/>
        </w:rPr>
        <w:t>　（四）学院信息公开专栏公开信息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学院网站设置信息公开专栏对学院相关信息进行公开，通过信息公开专栏公开信息包括：（1）学院发展规划，教职工大会实施</w:t>
      </w:r>
      <w:r>
        <w:rPr>
          <w:rFonts w:hint="eastAsia" w:ascii="仿宋_GB2312" w:hAnsi="仿宋_GB2312" w:eastAsia="仿宋_GB2312" w:cs="仿宋_GB2312"/>
          <w:color w:val="000000"/>
          <w:kern w:val="0"/>
          <w:sz w:val="32"/>
          <w:szCs w:val="32"/>
          <w:lang w:eastAsia="zh-CN"/>
        </w:rPr>
        <w:t>办法</w:t>
      </w:r>
      <w:r>
        <w:rPr>
          <w:rFonts w:hint="eastAsia" w:ascii="仿宋_GB2312" w:hAnsi="仿宋_GB2312" w:eastAsia="仿宋_GB2312" w:cs="仿宋_GB2312"/>
          <w:color w:val="000000"/>
          <w:kern w:val="0"/>
          <w:sz w:val="32"/>
          <w:szCs w:val="32"/>
        </w:rPr>
        <w:t>，行政工作报告，学院章程，学院机构设置，领导班子分工，学院基本情况简介。（2）学院招生简章。（3）学院收费许可项目明细表，经营、后勤及资产管理制度。（4）学院内部分配方案，教职工请假暂行规定，教职工培训、进修暂行规定，教师院外兼课规定，岗位津贴发放细则等。（5）专业设置情况，学术规范制度，教学质量报告，学术不端行为查处办法等。（6）奖助学金公示，学生综合素质评测实施办法，学生勤工助学管理办法，国家助学金评审实施办法，家庭经济困难学生认定工作实施办法。（6）各级各类大赛获奖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楷体" w:hAnsi="楷体" w:eastAsia="楷体" w:cs="楷体"/>
          <w:b/>
          <w:bCs/>
          <w:color w:val="000000"/>
          <w:kern w:val="0"/>
          <w:sz w:val="32"/>
          <w:szCs w:val="32"/>
        </w:rPr>
        <w:t>　（五）信息公开重点工作落实情况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eastAsia="zh-CN"/>
        </w:rPr>
        <w:t>上旬</w:t>
      </w:r>
      <w:r>
        <w:rPr>
          <w:rFonts w:hint="eastAsia" w:ascii="仿宋_GB2312" w:hAnsi="仿宋_GB2312" w:eastAsia="仿宋_GB2312" w:cs="仿宋_GB2312"/>
          <w:color w:val="000000"/>
          <w:kern w:val="0"/>
          <w:sz w:val="32"/>
          <w:szCs w:val="32"/>
        </w:rPr>
        <w:t>，学院召开</w:t>
      </w:r>
      <w:r>
        <w:rPr>
          <w:rFonts w:hint="eastAsia" w:ascii="仿宋_GB2312" w:hAnsi="仿宋_GB2312" w:eastAsia="仿宋_GB2312" w:cs="仿宋_GB2312"/>
          <w:color w:val="000000"/>
          <w:kern w:val="0"/>
          <w:sz w:val="32"/>
          <w:szCs w:val="32"/>
          <w:lang w:eastAsia="zh-CN"/>
        </w:rPr>
        <w:t>教</w:t>
      </w:r>
      <w:r>
        <w:rPr>
          <w:rFonts w:hint="eastAsia" w:ascii="仿宋_GB2312" w:hAnsi="仿宋_GB2312" w:eastAsia="仿宋_GB2312" w:cs="仿宋_GB2312"/>
          <w:color w:val="000000"/>
          <w:kern w:val="0"/>
          <w:sz w:val="32"/>
          <w:szCs w:val="32"/>
        </w:rPr>
        <w:t>职工</w:t>
      </w:r>
      <w:r>
        <w:rPr>
          <w:rFonts w:hint="eastAsia" w:ascii="仿宋_GB2312" w:hAnsi="仿宋_GB2312" w:eastAsia="仿宋_GB2312" w:cs="仿宋_GB2312"/>
          <w:color w:val="000000"/>
          <w:kern w:val="0"/>
          <w:sz w:val="32"/>
          <w:szCs w:val="32"/>
          <w:lang w:eastAsia="zh-CN"/>
        </w:rPr>
        <w:t>代表</w:t>
      </w:r>
      <w:r>
        <w:rPr>
          <w:rFonts w:hint="eastAsia" w:ascii="仿宋_GB2312" w:hAnsi="仿宋_GB2312" w:eastAsia="仿宋_GB2312" w:cs="仿宋_GB2312"/>
          <w:color w:val="000000"/>
          <w:kern w:val="0"/>
          <w:sz w:val="32"/>
          <w:szCs w:val="32"/>
        </w:rPr>
        <w:t>大会，会上对《学院20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年度工会经费使用情况报告》、《学院工作回顾和工作思路》进行了民主评议。20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年度学院共公开招生就业信息</w:t>
      </w:r>
      <w:r>
        <w:rPr>
          <w:rFonts w:hint="eastAsia" w:ascii="仿宋_GB2312" w:hAnsi="仿宋_GB2312" w:eastAsia="仿宋_GB2312" w:cs="仿宋_GB2312"/>
          <w:color w:val="000000"/>
          <w:kern w:val="0"/>
          <w:sz w:val="32"/>
          <w:szCs w:val="32"/>
          <w:lang w:val="en-US" w:eastAsia="zh-CN"/>
        </w:rPr>
        <w:t>109</w:t>
      </w:r>
      <w:r>
        <w:rPr>
          <w:rFonts w:hint="eastAsia" w:ascii="仿宋_GB2312" w:hAnsi="仿宋_GB2312" w:eastAsia="仿宋_GB2312" w:cs="仿宋_GB2312"/>
          <w:color w:val="000000"/>
          <w:kern w:val="0"/>
          <w:sz w:val="32"/>
          <w:szCs w:val="32"/>
        </w:rPr>
        <w:t>条，其中招生信息</w:t>
      </w:r>
      <w:r>
        <w:rPr>
          <w:rFonts w:hint="eastAsia" w:ascii="仿宋_GB2312" w:hAnsi="仿宋_GB2312" w:eastAsia="仿宋_GB2312" w:cs="仿宋_GB2312"/>
          <w:color w:val="000000"/>
          <w:kern w:val="0"/>
          <w:sz w:val="32"/>
          <w:szCs w:val="32"/>
          <w:lang w:val="en-US" w:eastAsia="zh-CN"/>
        </w:rPr>
        <w:t>38</w:t>
      </w:r>
      <w:r>
        <w:rPr>
          <w:rFonts w:hint="eastAsia" w:ascii="仿宋_GB2312" w:hAnsi="仿宋_GB2312" w:eastAsia="仿宋_GB2312" w:cs="仿宋_GB2312"/>
          <w:color w:val="000000"/>
          <w:kern w:val="0"/>
          <w:sz w:val="32"/>
          <w:szCs w:val="32"/>
        </w:rPr>
        <w:t>条，就业信息</w:t>
      </w:r>
      <w:r>
        <w:rPr>
          <w:rFonts w:hint="eastAsia" w:ascii="仿宋_GB2312" w:hAnsi="仿宋_GB2312" w:eastAsia="仿宋_GB2312" w:cs="仿宋_GB2312"/>
          <w:color w:val="000000"/>
          <w:kern w:val="0"/>
          <w:sz w:val="32"/>
          <w:szCs w:val="32"/>
          <w:lang w:val="en-US" w:eastAsia="zh-CN"/>
        </w:rPr>
        <w:t>71</w:t>
      </w:r>
      <w:r>
        <w:rPr>
          <w:rFonts w:hint="eastAsia" w:ascii="仿宋_GB2312" w:hAnsi="仿宋_GB2312" w:eastAsia="仿宋_GB2312" w:cs="仿宋_GB2312"/>
          <w:color w:val="000000"/>
          <w:kern w:val="0"/>
          <w:sz w:val="32"/>
          <w:szCs w:val="32"/>
        </w:rPr>
        <w:t>条，主要通过学院招生网和就业网进行公开；按照省教育厅要求，充分利用大学生就业一站式服务系统平台，发布就业信息。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　三、依申请公开和不予公开情况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学年度学院未收到需受理或答复的师生和公众信息公开的申请。信息公开工作未发生收费情况、减免情况。学院严格按照教育部、省教育厅的有关规定公开信息，规定了不予公开信息的范围，涉及国家机密、商业机密及个人隐私的信息，按规定不予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b w:val="0"/>
          <w:bCs w:val="0"/>
          <w:color w:val="000000"/>
          <w:kern w:val="0"/>
          <w:sz w:val="32"/>
          <w:szCs w:val="32"/>
        </w:rPr>
        <w:t>　四、对信息公开的评议情况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我院教职工和学生对学院信息公开关注度较高，对学院信息公开工作给予较好的支持和肯定，师生员工和社会公众对学院能及时地提供各种学院信息表示满意，评议良好。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五、因信息公开工作遭到举报的情况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未出现因学院信息公开工作遭到举报的情况。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六、信息公开工作存在的主要问题和改进措施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目前，信息公开工作仍然存在不足</w:t>
      </w:r>
      <w:r>
        <w:rPr>
          <w:rFonts w:hint="eastAsia" w:ascii="仿宋_GB2312" w:hAnsi="仿宋_GB2312" w:eastAsia="仿宋_GB2312" w:cs="仿宋_GB2312"/>
          <w:color w:val="000000"/>
          <w:kern w:val="0"/>
          <w:sz w:val="32"/>
          <w:szCs w:val="32"/>
          <w:lang w:eastAsia="zh-CN"/>
        </w:rPr>
        <w:t>，有待改进</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不足之处</w:t>
      </w:r>
      <w:r>
        <w:rPr>
          <w:rFonts w:hint="eastAsia" w:ascii="仿宋_GB2312" w:hAnsi="仿宋_GB2312" w:eastAsia="仿宋_GB2312" w:cs="仿宋_GB2312"/>
          <w:color w:val="000000"/>
          <w:kern w:val="0"/>
          <w:sz w:val="32"/>
          <w:szCs w:val="32"/>
        </w:rPr>
        <w:t>有：</w:t>
      </w:r>
      <w:r>
        <w:rPr>
          <w:rFonts w:hint="eastAsia" w:ascii="仿宋_GB2312" w:hAnsi="仿宋_GB2312" w:eastAsia="仿宋_GB2312" w:cs="仿宋_GB2312"/>
          <w:color w:val="000000"/>
          <w:kern w:val="0"/>
          <w:sz w:val="32"/>
          <w:szCs w:val="32"/>
          <w:lang w:eastAsia="zh-CN"/>
        </w:rPr>
        <w:t>需进一步完善和健全相关制度</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个别</w:t>
      </w:r>
      <w:r>
        <w:rPr>
          <w:rFonts w:hint="eastAsia" w:ascii="仿宋_GB2312" w:hAnsi="仿宋_GB2312" w:eastAsia="仿宋_GB2312" w:cs="仿宋_GB2312"/>
          <w:color w:val="000000"/>
          <w:kern w:val="0"/>
          <w:sz w:val="32"/>
          <w:szCs w:val="32"/>
        </w:rPr>
        <w:t>部门对信息公开</w:t>
      </w:r>
      <w:r>
        <w:rPr>
          <w:rFonts w:hint="eastAsia" w:ascii="仿宋_GB2312" w:hAnsi="仿宋_GB2312" w:eastAsia="仿宋_GB2312" w:cs="仿宋_GB2312"/>
          <w:color w:val="000000"/>
          <w:kern w:val="0"/>
          <w:sz w:val="32"/>
          <w:szCs w:val="32"/>
          <w:lang w:eastAsia="zh-CN"/>
        </w:rPr>
        <w:t>工作不够重视</w:t>
      </w:r>
      <w:r>
        <w:rPr>
          <w:rFonts w:hint="eastAsia" w:ascii="仿宋_GB2312" w:hAnsi="仿宋_GB2312" w:eastAsia="仿宋_GB2312" w:cs="仿宋_GB2312"/>
          <w:color w:val="000000"/>
          <w:kern w:val="0"/>
          <w:sz w:val="32"/>
          <w:szCs w:val="32"/>
        </w:rPr>
        <w:t>，未对相关内容及时公开；信息公开工作实施情况还不够落实、完整、规范。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今后，我院将</w:t>
      </w:r>
      <w:r>
        <w:rPr>
          <w:rFonts w:hint="eastAsia" w:ascii="仿宋_GB2312" w:hAnsi="仿宋_GB2312" w:eastAsia="仿宋_GB2312" w:cs="仿宋_GB2312"/>
          <w:color w:val="000000"/>
          <w:kern w:val="0"/>
          <w:sz w:val="32"/>
          <w:szCs w:val="32"/>
          <w:lang w:eastAsia="zh-CN"/>
        </w:rPr>
        <w:t>持续</w:t>
      </w:r>
      <w:r>
        <w:rPr>
          <w:rFonts w:hint="eastAsia" w:ascii="仿宋_GB2312" w:hAnsi="仿宋_GB2312" w:eastAsia="仿宋_GB2312" w:cs="仿宋_GB2312"/>
          <w:color w:val="000000"/>
          <w:kern w:val="0"/>
          <w:sz w:val="32"/>
          <w:szCs w:val="32"/>
        </w:rPr>
        <w:t>贯彻落实教育部和省教育厅的信息公开工作要求，通过完善工作机制、创新工作方法、强化监督检查，进一步推进学院信息公开工作规范化开展。主要工作思路：一是健全完善信息公开工作机制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二是创新丰富信息公开内容渠道</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三是进一步加大信息公开工作监督检查力度，确保信息公开工作能够更好地开展。 </w:t>
      </w:r>
    </w:p>
    <w:p>
      <w:pPr>
        <w:pStyle w:val="2"/>
        <w:ind w:firstLine="640" w:firstLineChars="200"/>
        <w:rPr>
          <w:rFonts w:hint="eastAsia" w:ascii="仿宋_GB2312" w:hAnsi="仿宋_GB2312" w:eastAsia="仿宋_GB2312" w:cs="仿宋_GB2312"/>
          <w:color w:val="000000"/>
          <w:kern w:val="0"/>
          <w:sz w:val="32"/>
          <w:szCs w:val="32"/>
          <w:lang w:eastAsia="zh-CN"/>
        </w:rPr>
      </w:pPr>
    </w:p>
    <w:p>
      <w:pPr>
        <w:pStyle w:val="2"/>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信息公开工作联系人：王教辉</w:t>
      </w:r>
      <w:r>
        <w:rPr>
          <w:rFonts w:hint="eastAsia" w:ascii="仿宋_GB2312" w:hAnsi="仿宋_GB2312" w:eastAsia="仿宋_GB2312" w:cs="仿宋_GB2312"/>
          <w:color w:val="000000"/>
          <w:kern w:val="0"/>
          <w:sz w:val="32"/>
          <w:szCs w:val="32"/>
          <w:lang w:val="en-US" w:eastAsia="zh-CN"/>
        </w:rPr>
        <w:t xml:space="preserve">    电话：15859118850</w:t>
      </w:r>
    </w:p>
    <w:p>
      <w:pPr>
        <w:pStyle w:val="2"/>
        <w:rPr>
          <w:rFonts w:hint="default" w:ascii="仿宋_GB2312" w:hAnsi="仿宋_GB2312" w:eastAsia="仿宋_GB2312" w:cs="仿宋_GB2312"/>
          <w:color w:val="000000"/>
          <w:kern w:val="0"/>
          <w:sz w:val="32"/>
          <w:szCs w:val="32"/>
          <w:lang w:val="en-US" w:eastAsia="zh-CN"/>
        </w:rPr>
      </w:pPr>
    </w:p>
    <w:p>
      <w:pPr>
        <w:pStyle w:val="2"/>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附件：福州黎明职业技术学院清单事项公开情况表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kern w:val="0"/>
          <w:sz w:val="32"/>
          <w:szCs w:val="32"/>
        </w:rPr>
      </w:pPr>
    </w:p>
    <w:p>
      <w:pPr>
        <w:pStyle w:val="2"/>
        <w:rPr>
          <w:rFonts w:hint="eastAsia" w:ascii="仿宋_GB2312" w:hAnsi="仿宋_GB2312" w:eastAsia="仿宋_GB2312" w:cs="仿宋_GB2312"/>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福州黎明职业技术学院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校务公开工作领导小组</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日</w:t>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bookmarkStart w:id="0" w:name="_GoBack"/>
      <w:bookmarkEnd w:id="0"/>
    </w:p>
    <w:p>
      <w:pPr>
        <w:pStyle w:val="2"/>
        <w:rPr>
          <w:rFonts w:hint="eastAsia" w:ascii="仿宋_GB2312" w:hAnsi="仿宋_GB2312" w:eastAsia="仿宋_GB2312" w:cs="仿宋_GB2312"/>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zh-CN" w:eastAsia="zh-CN"/>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363220</wp:posOffset>
                </wp:positionV>
                <wp:extent cx="58293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28.6pt;height:0pt;width:459pt;z-index:251660288;mso-width-relative:page;mso-height-relative:page;" filled="f" stroked="t" coordsize="21600,21600" o:gfxdata="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5687dYAAAAJAQAADwAAAAAAAAABACAAAAAiAAAAZHJzL2Rvd25yZXYueG1s&#10;UEsBAhQAFAAAAAgAh07iQPGpA5X6AQAA8gMAAA4AAAAAAAAAAQAgAAAAJQEAAGRycy9lMm9Eb2Mu&#10;eG1sUEsFBgAAAAAGAAYAWQEAAJEFAAAAAA==&#10;">
                <v:fill on="f" focussize="0,0"/>
                <v:stroke color="#00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zh-CN" w:eastAsia="zh-CN"/>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396875</wp:posOffset>
                </wp:positionV>
                <wp:extent cx="58293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1.25pt;height:0pt;width:459pt;z-index:251661312;mso-width-relative:page;mso-height-relative:page;" filled="f" stroked="t" coordsize="21600,21600" o:gfxdata="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iXtCNYAAAAJAQAADwAAAAAAAAABACAAAAAiAAAAZHJzL2Rvd25yZXYueG1s&#10;UEsBAhQAFAAAAAgAh07iQO7GVAv6AQAA8gMAAA4AAAAAAAAAAQAgAAAAJQ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福州黎明职业技术学院办公室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日印发</w:t>
      </w:r>
    </w:p>
    <w:p>
      <w:pPr>
        <w:spacing w:line="360" w:lineRule="auto"/>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w:t>
      </w:r>
    </w:p>
    <w:p>
      <w:pPr>
        <w:spacing w:line="360" w:lineRule="auto"/>
        <w:ind w:firstLine="1400" w:firstLineChars="500"/>
        <w:rPr>
          <w:rFonts w:hint="eastAsia" w:ascii="宋体" w:hAnsi="宋体"/>
          <w:color w:val="000000"/>
          <w:sz w:val="24"/>
        </w:rPr>
      </w:pPr>
      <w:r>
        <w:rPr>
          <w:rFonts w:hint="eastAsia" w:ascii="方正小标宋简体" w:hAnsi="方正小标宋简体" w:eastAsia="方正小标宋简体" w:cs="方正小标宋简体"/>
          <w:color w:val="000000"/>
          <w:sz w:val="28"/>
          <w:szCs w:val="28"/>
        </w:rPr>
        <w:t>福州黎明职业技术学院清单事项公开情况表</w:t>
      </w:r>
      <w:r>
        <w:rPr>
          <w:rFonts w:hint="eastAsia" w:ascii="宋体" w:hAnsi="宋体"/>
          <w:color w:val="000000"/>
          <w:sz w:val="24"/>
        </w:rPr>
        <w:t xml:space="preserve"> </w:t>
      </w:r>
    </w:p>
    <w:tbl>
      <w:tblPr>
        <w:tblStyle w:val="5"/>
        <w:tblW w:w="8680" w:type="dxa"/>
        <w:tblInd w:w="0" w:type="dxa"/>
        <w:tblLayout w:type="fixed"/>
        <w:tblCellMar>
          <w:top w:w="15" w:type="dxa"/>
          <w:left w:w="15" w:type="dxa"/>
          <w:bottom w:w="15" w:type="dxa"/>
          <w:right w:w="15" w:type="dxa"/>
        </w:tblCellMar>
      </w:tblPr>
      <w:tblGrid>
        <w:gridCol w:w="387"/>
        <w:gridCol w:w="900"/>
        <w:gridCol w:w="3056"/>
        <w:gridCol w:w="4337"/>
      </w:tblGrid>
      <w:tr>
        <w:tblPrEx>
          <w:tblCellMar>
            <w:top w:w="15" w:type="dxa"/>
            <w:left w:w="15" w:type="dxa"/>
            <w:bottom w:w="15" w:type="dxa"/>
            <w:right w:w="15" w:type="dxa"/>
          </w:tblCellMar>
        </w:tblPrEx>
        <w:trPr>
          <w:trHeight w:val="421" w:hRule="atLeast"/>
        </w:trPr>
        <w:tc>
          <w:tcPr>
            <w:tcW w:w="3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类</w:t>
            </w:r>
            <w:r>
              <w:rPr>
                <w:rStyle w:val="8"/>
                <w:rFonts w:hint="eastAsia" w:ascii="宋体" w:hAnsi="宋体" w:cs="宋体"/>
                <w:sz w:val="21"/>
                <w:szCs w:val="21"/>
                <w:lang w:bidi="ar"/>
              </w:rPr>
              <w:t xml:space="preserve">  </w:t>
            </w:r>
            <w:r>
              <w:rPr>
                <w:rStyle w:val="9"/>
                <w:rFonts w:hint="eastAsia" w:ascii="宋体" w:hAnsi="宋体" w:eastAsia="宋体" w:cs="宋体"/>
                <w:sz w:val="21"/>
                <w:szCs w:val="21"/>
                <w:lang w:bidi="ar"/>
              </w:rPr>
              <w:t>别</w:t>
            </w:r>
          </w:p>
        </w:tc>
        <w:tc>
          <w:tcPr>
            <w:tcW w:w="30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公开事项</w:t>
            </w:r>
          </w:p>
        </w:tc>
        <w:tc>
          <w:tcPr>
            <w:tcW w:w="43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发布位置</w:t>
            </w:r>
          </w:p>
        </w:tc>
      </w:tr>
      <w:tr>
        <w:tblPrEx>
          <w:tblCellMar>
            <w:top w:w="15" w:type="dxa"/>
            <w:left w:w="15" w:type="dxa"/>
            <w:bottom w:w="15" w:type="dxa"/>
            <w:right w:w="15" w:type="dxa"/>
          </w:tblCellMar>
        </w:tblPrEx>
        <w:trPr>
          <w:trHeight w:val="319"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30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c>
          <w:tcPr>
            <w:tcW w:w="43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rPr>
            </w:pPr>
          </w:p>
        </w:tc>
      </w:tr>
      <w:tr>
        <w:tblPrEx>
          <w:tblCellMar>
            <w:top w:w="15" w:type="dxa"/>
            <w:left w:w="15" w:type="dxa"/>
            <w:bottom w:w="15" w:type="dxa"/>
            <w:right w:w="15" w:type="dxa"/>
          </w:tblCellMar>
        </w:tblPrEx>
        <w:trPr>
          <w:trHeight w:val="818" w:hRule="atLeast"/>
        </w:trPr>
        <w:tc>
          <w:tcPr>
            <w:tcW w:w="3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Style w:val="10"/>
                <w:rFonts w:hint="eastAsia" w:ascii="宋体" w:hAnsi="宋体" w:eastAsia="宋体" w:cs="宋体"/>
                <w:sz w:val="21"/>
                <w:szCs w:val="21"/>
                <w:lang w:bidi="ar"/>
              </w:rPr>
              <w:t>基本信息</w:t>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t>（</w:t>
            </w:r>
            <w:r>
              <w:rPr>
                <w:rStyle w:val="11"/>
                <w:rFonts w:hint="eastAsia" w:ascii="宋体" w:hAnsi="宋体" w:cs="宋体"/>
                <w:sz w:val="21"/>
                <w:szCs w:val="21"/>
                <w:lang w:bidi="ar"/>
              </w:rPr>
              <w:t>6</w:t>
            </w:r>
            <w:r>
              <w:rPr>
                <w:rStyle w:val="10"/>
                <w:rFonts w:hint="eastAsia" w:ascii="宋体" w:hAnsi="宋体" w:eastAsia="宋体" w:cs="宋体"/>
                <w:sz w:val="21"/>
                <w:szCs w:val="21"/>
                <w:lang w:bidi="ar"/>
              </w:rPr>
              <w:t>项）</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1</w:t>
            </w:r>
            <w:r>
              <w:rPr>
                <w:rStyle w:val="10"/>
                <w:rFonts w:hint="eastAsia" w:ascii="宋体" w:hAnsi="宋体" w:eastAsia="宋体" w:cs="宋体"/>
                <w:sz w:val="21"/>
                <w:szCs w:val="21"/>
                <w:lang w:bidi="ar"/>
              </w:rPr>
              <w:t>）学校机构设置、学科情况、专业情况、各类在校生情况、教师和专业技术人员数量等办学基本情况</w:t>
            </w:r>
          </w:p>
        </w:tc>
        <w:tc>
          <w:tcPr>
            <w:tcW w:w="43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kern w:val="0"/>
                <w:szCs w:val="21"/>
                <w:u w:val="single"/>
                <w:lang w:bidi="ar"/>
              </w:rPr>
              <w:t>http://www.fzlmxy.cn/index.php/xgc-index</w:t>
            </w:r>
          </w:p>
        </w:tc>
      </w:tr>
      <w:tr>
        <w:tblPrEx>
          <w:tblCellMar>
            <w:top w:w="15" w:type="dxa"/>
            <w:left w:w="15" w:type="dxa"/>
            <w:bottom w:w="15" w:type="dxa"/>
            <w:right w:w="15" w:type="dxa"/>
          </w:tblCellMar>
        </w:tblPrEx>
        <w:trPr>
          <w:trHeight w:val="465"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2</w:t>
            </w:r>
            <w:r>
              <w:rPr>
                <w:rStyle w:val="10"/>
                <w:rFonts w:hint="eastAsia" w:ascii="宋体" w:hAnsi="宋体" w:eastAsia="宋体" w:cs="宋体"/>
                <w:sz w:val="21"/>
                <w:szCs w:val="21"/>
                <w:lang w:bidi="ar"/>
              </w:rPr>
              <w:t>）学校章程及制定的各项规章制度</w:t>
            </w:r>
          </w:p>
        </w:tc>
        <w:tc>
          <w:tcPr>
            <w:tcW w:w="43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FF"/>
                <w:szCs w:val="21"/>
                <w:u w:val="single"/>
              </w:rPr>
            </w:pPr>
          </w:p>
        </w:tc>
      </w:tr>
      <w:tr>
        <w:tblPrEx>
          <w:tblCellMar>
            <w:top w:w="15" w:type="dxa"/>
            <w:left w:w="15" w:type="dxa"/>
            <w:bottom w:w="15" w:type="dxa"/>
            <w:right w:w="15" w:type="dxa"/>
          </w:tblCellMar>
        </w:tblPrEx>
        <w:trPr>
          <w:trHeight w:val="583"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3</w:t>
            </w:r>
            <w:r>
              <w:rPr>
                <w:rStyle w:val="10"/>
                <w:rFonts w:hint="eastAsia" w:ascii="宋体" w:hAnsi="宋体" w:eastAsia="宋体" w:cs="宋体"/>
                <w:sz w:val="21"/>
                <w:szCs w:val="21"/>
                <w:lang w:bidi="ar"/>
              </w:rPr>
              <w:t>）教职工代表大会相关制度、工作报告</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kern w:val="0"/>
                <w:szCs w:val="21"/>
                <w:u w:val="single"/>
                <w:lang w:bidi="ar"/>
              </w:rPr>
              <w:t>http://www.fzlmxy.cn/index.php/dw-index</w:t>
            </w:r>
          </w:p>
        </w:tc>
      </w:tr>
      <w:tr>
        <w:tblPrEx>
          <w:tblCellMar>
            <w:top w:w="15" w:type="dxa"/>
            <w:left w:w="15" w:type="dxa"/>
            <w:bottom w:w="15" w:type="dxa"/>
            <w:right w:w="15" w:type="dxa"/>
          </w:tblCellMar>
        </w:tblPrEx>
        <w:trPr>
          <w:trHeight w:val="554"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4</w:t>
            </w:r>
            <w:r>
              <w:rPr>
                <w:rStyle w:val="10"/>
                <w:rFonts w:hint="eastAsia" w:ascii="宋体" w:hAnsi="宋体" w:eastAsia="宋体" w:cs="宋体"/>
                <w:sz w:val="21"/>
                <w:szCs w:val="21"/>
                <w:lang w:bidi="ar"/>
              </w:rPr>
              <w:t>）学术委员会相关制度、年度报告</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http://www.fzlmxy.cn/index.php/jxky/kygz</w:t>
            </w:r>
          </w:p>
        </w:tc>
      </w:tr>
      <w:tr>
        <w:tblPrEx>
          <w:tblCellMar>
            <w:top w:w="15" w:type="dxa"/>
            <w:left w:w="15" w:type="dxa"/>
            <w:bottom w:w="15" w:type="dxa"/>
            <w:right w:w="15" w:type="dxa"/>
          </w:tblCellMar>
        </w:tblPrEx>
        <w:trPr>
          <w:trHeight w:val="651"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5</w:t>
            </w:r>
            <w:r>
              <w:rPr>
                <w:rStyle w:val="10"/>
                <w:rFonts w:hint="eastAsia" w:ascii="宋体" w:hAnsi="宋体" w:eastAsia="宋体" w:cs="宋体"/>
                <w:sz w:val="21"/>
                <w:szCs w:val="21"/>
                <w:lang w:bidi="ar"/>
              </w:rPr>
              <w:t>）学校年度工作计划</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kern w:val="0"/>
                <w:szCs w:val="21"/>
                <w:u w:val="single"/>
                <w:lang w:bidi="ar"/>
              </w:rPr>
              <w:t>http://www.fzlmxy.cn/index.php/xwzx/xwgk</w:t>
            </w:r>
          </w:p>
        </w:tc>
      </w:tr>
      <w:tr>
        <w:tblPrEx>
          <w:tblCellMar>
            <w:top w:w="15" w:type="dxa"/>
            <w:left w:w="15" w:type="dxa"/>
            <w:bottom w:w="15" w:type="dxa"/>
            <w:right w:w="15" w:type="dxa"/>
          </w:tblCellMar>
        </w:tblPrEx>
        <w:trPr>
          <w:trHeight w:val="524"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6</w:t>
            </w:r>
            <w:r>
              <w:rPr>
                <w:rStyle w:val="10"/>
                <w:rFonts w:hint="eastAsia" w:ascii="宋体" w:hAnsi="宋体" w:eastAsia="宋体" w:cs="宋体"/>
                <w:sz w:val="21"/>
                <w:szCs w:val="21"/>
                <w:lang w:bidi="ar"/>
              </w:rPr>
              <w:t>）信息公开年度报告</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kern w:val="0"/>
                <w:szCs w:val="21"/>
                <w:u w:val="single"/>
                <w:lang w:bidi="ar"/>
              </w:rPr>
              <w:t>http://www.fzlmxy.cn/index.php/xwzx/xwgk</w:t>
            </w:r>
          </w:p>
        </w:tc>
      </w:tr>
      <w:tr>
        <w:tblPrEx>
          <w:tblCellMar>
            <w:top w:w="15" w:type="dxa"/>
            <w:left w:w="15" w:type="dxa"/>
            <w:bottom w:w="15" w:type="dxa"/>
            <w:right w:w="15" w:type="dxa"/>
          </w:tblCellMar>
        </w:tblPrEx>
        <w:trPr>
          <w:trHeight w:val="671" w:hRule="atLeast"/>
        </w:trPr>
        <w:tc>
          <w:tcPr>
            <w:tcW w:w="3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Style w:val="10"/>
                <w:rFonts w:hint="eastAsia" w:ascii="宋体" w:hAnsi="宋体" w:eastAsia="宋体" w:cs="宋体"/>
                <w:sz w:val="21"/>
                <w:szCs w:val="21"/>
                <w:lang w:bidi="ar"/>
              </w:rPr>
              <w:t>招生考试信息</w:t>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t>（</w:t>
            </w:r>
            <w:r>
              <w:rPr>
                <w:rStyle w:val="11"/>
                <w:rFonts w:hint="eastAsia" w:ascii="宋体" w:hAnsi="宋体" w:cs="宋体"/>
                <w:sz w:val="21"/>
                <w:szCs w:val="21"/>
                <w:lang w:bidi="ar"/>
              </w:rPr>
              <w:t>8</w:t>
            </w:r>
            <w:r>
              <w:rPr>
                <w:rStyle w:val="10"/>
                <w:rFonts w:hint="eastAsia" w:ascii="宋体" w:hAnsi="宋体" w:eastAsia="宋体" w:cs="宋体"/>
                <w:sz w:val="21"/>
                <w:szCs w:val="21"/>
                <w:lang w:bidi="ar"/>
              </w:rPr>
              <w:t>项）</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7</w:t>
            </w:r>
            <w:r>
              <w:rPr>
                <w:rStyle w:val="10"/>
                <w:rFonts w:hint="eastAsia" w:ascii="宋体" w:hAnsi="宋体" w:eastAsia="宋体" w:cs="宋体"/>
                <w:sz w:val="21"/>
                <w:szCs w:val="21"/>
                <w:lang w:bidi="ar"/>
              </w:rPr>
              <w:t>）招生章程及特殊类型招生办法，分批次、分科类招生计划</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kern w:val="0"/>
                <w:szCs w:val="21"/>
                <w:u w:val="single"/>
                <w:lang w:bidi="ar"/>
              </w:rPr>
              <w:t>http://www.fzlmxy.cn/index.php/zsb-index</w:t>
            </w:r>
          </w:p>
        </w:tc>
      </w:tr>
      <w:tr>
        <w:tblPrEx>
          <w:tblCellMar>
            <w:top w:w="15" w:type="dxa"/>
            <w:left w:w="15" w:type="dxa"/>
            <w:bottom w:w="15" w:type="dxa"/>
            <w:right w:w="15" w:type="dxa"/>
          </w:tblCellMar>
        </w:tblPrEx>
        <w:trPr>
          <w:trHeight w:val="715"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8</w:t>
            </w:r>
            <w:r>
              <w:rPr>
                <w:rStyle w:val="10"/>
                <w:rFonts w:hint="eastAsia" w:ascii="宋体" w:hAnsi="宋体" w:eastAsia="宋体" w:cs="宋体"/>
                <w:sz w:val="21"/>
                <w:szCs w:val="21"/>
                <w:lang w:bidi="ar"/>
              </w:rPr>
              <w:t>）保送、自主选拔录取、高水平运动员和艺术特长生招生等特殊类型招生入选考生资格及测试结果</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情况不存在</w:t>
            </w:r>
          </w:p>
        </w:tc>
      </w:tr>
      <w:tr>
        <w:tblPrEx>
          <w:tblCellMar>
            <w:top w:w="15" w:type="dxa"/>
            <w:left w:w="15" w:type="dxa"/>
            <w:bottom w:w="15" w:type="dxa"/>
            <w:right w:w="15" w:type="dxa"/>
          </w:tblCellMar>
        </w:tblPrEx>
        <w:trPr>
          <w:trHeight w:val="715"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9</w:t>
            </w:r>
            <w:r>
              <w:rPr>
                <w:rStyle w:val="10"/>
                <w:rFonts w:hint="eastAsia" w:ascii="宋体" w:hAnsi="宋体" w:eastAsia="宋体" w:cs="宋体"/>
                <w:sz w:val="21"/>
                <w:szCs w:val="21"/>
                <w:lang w:bidi="ar"/>
              </w:rPr>
              <w:t>）考生个人录取信息查询渠道和办法，分批次、分科类录取人数和录取最低分</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kern w:val="0"/>
                <w:szCs w:val="21"/>
                <w:u w:val="single"/>
                <w:lang w:bidi="ar"/>
              </w:rPr>
              <w:t>http://www.fzlmxy.cn/index.php/zsb-index</w:t>
            </w:r>
          </w:p>
        </w:tc>
      </w:tr>
      <w:tr>
        <w:tblPrEx>
          <w:tblCellMar>
            <w:top w:w="15" w:type="dxa"/>
            <w:left w:w="15" w:type="dxa"/>
            <w:bottom w:w="15" w:type="dxa"/>
            <w:right w:w="15" w:type="dxa"/>
          </w:tblCellMar>
        </w:tblPrEx>
        <w:trPr>
          <w:trHeight w:val="715"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10</w:t>
            </w:r>
            <w:r>
              <w:rPr>
                <w:rStyle w:val="10"/>
                <w:rFonts w:hint="eastAsia" w:ascii="宋体" w:hAnsi="宋体" w:eastAsia="宋体" w:cs="宋体"/>
                <w:sz w:val="21"/>
                <w:szCs w:val="21"/>
                <w:lang w:bidi="ar"/>
              </w:rPr>
              <w:t>）招生咨询及考生申诉渠道，新生复查期间有关举报、调查及处理结果</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kern w:val="0"/>
                <w:szCs w:val="21"/>
                <w:u w:val="single"/>
                <w:lang w:bidi="ar"/>
              </w:rPr>
              <w:t>http://www.fzlmxy.cn/index.php/zsb-index</w:t>
            </w:r>
          </w:p>
        </w:tc>
      </w:tr>
      <w:tr>
        <w:tblPrEx>
          <w:tblCellMar>
            <w:top w:w="15" w:type="dxa"/>
            <w:left w:w="15" w:type="dxa"/>
            <w:bottom w:w="15" w:type="dxa"/>
            <w:right w:w="15" w:type="dxa"/>
          </w:tblCellMar>
        </w:tblPrEx>
        <w:trPr>
          <w:trHeight w:val="715"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11</w:t>
            </w:r>
            <w:r>
              <w:rPr>
                <w:rStyle w:val="10"/>
                <w:rFonts w:hint="eastAsia" w:ascii="宋体" w:hAnsi="宋体" w:eastAsia="宋体" w:cs="宋体"/>
                <w:sz w:val="21"/>
                <w:szCs w:val="21"/>
                <w:lang w:bidi="ar"/>
              </w:rPr>
              <w:t>）研究生招生简章、招生专业目录、复试录取办法，各院（系、所）或学科、专业招收研究生人数</w:t>
            </w:r>
          </w:p>
        </w:tc>
        <w:tc>
          <w:tcPr>
            <w:tcW w:w="43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情况不存在</w:t>
            </w:r>
          </w:p>
        </w:tc>
      </w:tr>
      <w:tr>
        <w:tblPrEx>
          <w:tblCellMar>
            <w:top w:w="15" w:type="dxa"/>
            <w:left w:w="15" w:type="dxa"/>
            <w:bottom w:w="15" w:type="dxa"/>
            <w:right w:w="15" w:type="dxa"/>
          </w:tblCellMar>
        </w:tblPrEx>
        <w:trPr>
          <w:trHeight w:val="90"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12</w:t>
            </w:r>
            <w:r>
              <w:rPr>
                <w:rStyle w:val="10"/>
                <w:rFonts w:hint="eastAsia" w:ascii="宋体" w:hAnsi="宋体" w:eastAsia="宋体" w:cs="宋体"/>
                <w:sz w:val="21"/>
                <w:szCs w:val="21"/>
                <w:lang w:bidi="ar"/>
              </w:rPr>
              <w:t>）参加研究生复试的考生成绩</w:t>
            </w:r>
          </w:p>
        </w:tc>
        <w:tc>
          <w:tcPr>
            <w:tcW w:w="43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p>
        </w:tc>
      </w:tr>
      <w:tr>
        <w:tblPrEx>
          <w:tblCellMar>
            <w:top w:w="15" w:type="dxa"/>
            <w:left w:w="15" w:type="dxa"/>
            <w:bottom w:w="15" w:type="dxa"/>
            <w:right w:w="15" w:type="dxa"/>
          </w:tblCellMar>
        </w:tblPrEx>
        <w:trPr>
          <w:trHeight w:val="395"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13</w:t>
            </w:r>
            <w:r>
              <w:rPr>
                <w:rStyle w:val="10"/>
                <w:rFonts w:hint="eastAsia" w:ascii="宋体" w:hAnsi="宋体" w:eastAsia="宋体" w:cs="宋体"/>
                <w:sz w:val="21"/>
                <w:szCs w:val="21"/>
                <w:lang w:bidi="ar"/>
              </w:rPr>
              <w:t>）拟录取研究生名单</w:t>
            </w:r>
          </w:p>
        </w:tc>
        <w:tc>
          <w:tcPr>
            <w:tcW w:w="43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p>
        </w:tc>
      </w:tr>
      <w:tr>
        <w:tblPrEx>
          <w:tblCellMar>
            <w:top w:w="15" w:type="dxa"/>
            <w:left w:w="15" w:type="dxa"/>
            <w:bottom w:w="15" w:type="dxa"/>
            <w:right w:w="15" w:type="dxa"/>
          </w:tblCellMar>
        </w:tblPrEx>
        <w:trPr>
          <w:trHeight w:val="451"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14</w:t>
            </w:r>
            <w:r>
              <w:rPr>
                <w:rStyle w:val="10"/>
                <w:rFonts w:hint="eastAsia" w:ascii="宋体" w:hAnsi="宋体" w:eastAsia="宋体" w:cs="宋体"/>
                <w:sz w:val="21"/>
                <w:szCs w:val="21"/>
                <w:lang w:bidi="ar"/>
              </w:rPr>
              <w:t>）研究生招生咨询及申诉渠道</w:t>
            </w:r>
          </w:p>
        </w:tc>
        <w:tc>
          <w:tcPr>
            <w:tcW w:w="43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p>
        </w:tc>
      </w:tr>
      <w:tr>
        <w:tblPrEx>
          <w:tblCellMar>
            <w:top w:w="15" w:type="dxa"/>
            <w:left w:w="15" w:type="dxa"/>
            <w:bottom w:w="15" w:type="dxa"/>
            <w:right w:w="15" w:type="dxa"/>
          </w:tblCellMar>
        </w:tblPrEx>
        <w:trPr>
          <w:trHeight w:val="656" w:hRule="atLeast"/>
        </w:trPr>
        <w:tc>
          <w:tcPr>
            <w:tcW w:w="3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Style w:val="10"/>
                <w:rFonts w:hint="eastAsia" w:ascii="宋体" w:hAnsi="宋体" w:eastAsia="宋体" w:cs="宋体"/>
                <w:sz w:val="21"/>
                <w:szCs w:val="21"/>
                <w:lang w:bidi="ar"/>
              </w:rPr>
              <w:t>财务管理信息</w:t>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t>（</w:t>
            </w:r>
            <w:r>
              <w:rPr>
                <w:rStyle w:val="11"/>
                <w:rFonts w:hint="eastAsia" w:ascii="宋体" w:hAnsi="宋体" w:cs="宋体"/>
                <w:sz w:val="21"/>
                <w:szCs w:val="21"/>
                <w:lang w:bidi="ar"/>
              </w:rPr>
              <w:t>7</w:t>
            </w:r>
            <w:r>
              <w:rPr>
                <w:rStyle w:val="10"/>
                <w:rFonts w:hint="eastAsia" w:ascii="宋体" w:hAnsi="宋体" w:eastAsia="宋体" w:cs="宋体"/>
                <w:sz w:val="21"/>
                <w:szCs w:val="21"/>
                <w:lang w:bidi="ar"/>
              </w:rPr>
              <w:t>项）</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15</w:t>
            </w:r>
            <w:r>
              <w:rPr>
                <w:rStyle w:val="10"/>
                <w:rFonts w:hint="eastAsia" w:ascii="宋体" w:hAnsi="宋体" w:eastAsia="宋体" w:cs="宋体"/>
                <w:sz w:val="21"/>
                <w:szCs w:val="21"/>
                <w:lang w:bidi="ar"/>
              </w:rPr>
              <w:t>）财务管理制度</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kern w:val="0"/>
                <w:szCs w:val="21"/>
                <w:u w:val="single"/>
                <w:lang w:bidi="ar"/>
              </w:rPr>
              <w:t>http://www.fzlmxy.cn/index.php/xwzx/xwgk</w:t>
            </w:r>
          </w:p>
        </w:tc>
      </w:tr>
      <w:tr>
        <w:tblPrEx>
          <w:tblCellMar>
            <w:top w:w="15" w:type="dxa"/>
            <w:left w:w="15" w:type="dxa"/>
            <w:bottom w:w="15" w:type="dxa"/>
            <w:right w:w="15" w:type="dxa"/>
          </w:tblCellMar>
        </w:tblPrEx>
        <w:trPr>
          <w:trHeight w:val="656"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16</w:t>
            </w:r>
            <w:r>
              <w:rPr>
                <w:rStyle w:val="10"/>
                <w:rFonts w:hint="eastAsia" w:ascii="宋体" w:hAnsi="宋体" w:eastAsia="宋体" w:cs="宋体"/>
                <w:sz w:val="21"/>
                <w:szCs w:val="21"/>
                <w:lang w:bidi="ar"/>
              </w:rPr>
              <w:t>）受捐赠财产的使用与管理情况</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情况不存在</w:t>
            </w:r>
          </w:p>
        </w:tc>
      </w:tr>
      <w:tr>
        <w:tblPrEx>
          <w:tblCellMar>
            <w:top w:w="15" w:type="dxa"/>
            <w:left w:w="15" w:type="dxa"/>
            <w:bottom w:w="15" w:type="dxa"/>
            <w:right w:w="15" w:type="dxa"/>
          </w:tblCellMar>
        </w:tblPrEx>
        <w:trPr>
          <w:trHeight w:val="656"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17</w:t>
            </w:r>
            <w:r>
              <w:rPr>
                <w:rStyle w:val="10"/>
                <w:rFonts w:hint="eastAsia" w:ascii="宋体" w:hAnsi="宋体" w:eastAsia="宋体" w:cs="宋体"/>
                <w:sz w:val="21"/>
                <w:szCs w:val="21"/>
                <w:lang w:bidi="ar"/>
              </w:rPr>
              <w:t>）校办企业资产、负债、国有资产保值增值等信息</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情况不存在</w:t>
            </w:r>
          </w:p>
        </w:tc>
      </w:tr>
      <w:tr>
        <w:tblPrEx>
          <w:tblCellMar>
            <w:top w:w="15" w:type="dxa"/>
            <w:left w:w="15" w:type="dxa"/>
            <w:bottom w:w="15" w:type="dxa"/>
            <w:right w:w="15" w:type="dxa"/>
          </w:tblCellMar>
        </w:tblPrEx>
        <w:trPr>
          <w:trHeight w:val="656"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18</w:t>
            </w:r>
            <w:r>
              <w:rPr>
                <w:rStyle w:val="10"/>
                <w:rFonts w:hint="eastAsia" w:ascii="宋体" w:hAnsi="宋体" w:eastAsia="宋体" w:cs="宋体"/>
                <w:sz w:val="21"/>
                <w:szCs w:val="21"/>
                <w:lang w:bidi="ar"/>
              </w:rPr>
              <w:t>）仪器设备、图书、药品等物资设备采购和重大基建工程的招投标</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kern w:val="0"/>
                <w:szCs w:val="21"/>
                <w:u w:val="single"/>
                <w:lang w:bidi="ar"/>
              </w:rPr>
              <w:t>http://www.fzlmxy.cn/index.php/xwzx/xwgk</w:t>
            </w:r>
          </w:p>
        </w:tc>
      </w:tr>
      <w:tr>
        <w:tblPrEx>
          <w:tblCellMar>
            <w:top w:w="15" w:type="dxa"/>
            <w:left w:w="15" w:type="dxa"/>
            <w:bottom w:w="15" w:type="dxa"/>
            <w:right w:w="15" w:type="dxa"/>
          </w:tblCellMar>
        </w:tblPrEx>
        <w:trPr>
          <w:trHeight w:val="90"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19</w:t>
            </w:r>
            <w:r>
              <w:rPr>
                <w:rStyle w:val="10"/>
                <w:rFonts w:hint="eastAsia" w:ascii="宋体" w:hAnsi="宋体" w:eastAsia="宋体" w:cs="宋体"/>
                <w:sz w:val="21"/>
                <w:szCs w:val="21"/>
                <w:lang w:bidi="ar"/>
              </w:rPr>
              <w:t>）收支预算总表、收入预算表、支出预算表、财政拨款支出预算表</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kern w:val="0"/>
                <w:szCs w:val="21"/>
                <w:u w:val="single"/>
                <w:lang w:bidi="ar"/>
              </w:rPr>
              <w:t>http://www.fzlmxy.cn/index.php/xwzx/xwgk</w:t>
            </w:r>
          </w:p>
        </w:tc>
      </w:tr>
      <w:tr>
        <w:tblPrEx>
          <w:tblCellMar>
            <w:top w:w="15" w:type="dxa"/>
            <w:left w:w="15" w:type="dxa"/>
            <w:bottom w:w="15" w:type="dxa"/>
            <w:right w:w="15" w:type="dxa"/>
          </w:tblCellMar>
        </w:tblPrEx>
        <w:trPr>
          <w:trHeight w:val="1082"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20</w:t>
            </w:r>
            <w:r>
              <w:rPr>
                <w:rStyle w:val="10"/>
                <w:rFonts w:hint="eastAsia" w:ascii="宋体" w:hAnsi="宋体" w:eastAsia="宋体" w:cs="宋体"/>
                <w:sz w:val="21"/>
                <w:szCs w:val="21"/>
                <w:lang w:bidi="ar"/>
              </w:rPr>
              <w:t>）收支决算总表、收入决算表、支出决算表、财政拨款支出决算表</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kern w:val="0"/>
                <w:szCs w:val="21"/>
                <w:u w:val="single"/>
                <w:lang w:bidi="ar"/>
              </w:rPr>
              <w:t>http://www.fzlmxy.cn/index.php/xwzx/xwgk</w:t>
            </w:r>
          </w:p>
        </w:tc>
      </w:tr>
      <w:tr>
        <w:tblPrEx>
          <w:tblCellMar>
            <w:top w:w="15" w:type="dxa"/>
            <w:left w:w="15" w:type="dxa"/>
            <w:bottom w:w="15" w:type="dxa"/>
            <w:right w:w="15" w:type="dxa"/>
          </w:tblCellMar>
        </w:tblPrEx>
        <w:trPr>
          <w:trHeight w:val="651"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21</w:t>
            </w:r>
            <w:r>
              <w:rPr>
                <w:rStyle w:val="10"/>
                <w:rFonts w:hint="eastAsia" w:ascii="宋体" w:hAnsi="宋体" w:eastAsia="宋体" w:cs="宋体"/>
                <w:sz w:val="21"/>
                <w:szCs w:val="21"/>
                <w:lang w:bidi="ar"/>
              </w:rPr>
              <w:t>）收费项目、收费依据、收费标准及投诉方式</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kern w:val="0"/>
                <w:szCs w:val="21"/>
                <w:u w:val="single"/>
                <w:lang w:bidi="ar"/>
              </w:rPr>
              <w:t>http://www.fzlmxy.cn/index.php/xwzx/xwgk</w:t>
            </w:r>
          </w:p>
        </w:tc>
      </w:tr>
      <w:tr>
        <w:tblPrEx>
          <w:tblCellMar>
            <w:top w:w="15" w:type="dxa"/>
            <w:left w:w="15" w:type="dxa"/>
            <w:bottom w:w="15" w:type="dxa"/>
            <w:right w:w="15" w:type="dxa"/>
          </w:tblCellMar>
        </w:tblPrEx>
        <w:trPr>
          <w:trHeight w:val="90" w:hRule="atLeast"/>
        </w:trPr>
        <w:tc>
          <w:tcPr>
            <w:tcW w:w="3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Style w:val="10"/>
                <w:rFonts w:hint="eastAsia" w:ascii="宋体" w:hAnsi="宋体" w:eastAsia="宋体" w:cs="宋体"/>
                <w:sz w:val="21"/>
                <w:szCs w:val="21"/>
                <w:lang w:bidi="ar"/>
              </w:rPr>
              <w:t>人事师资信息</w:t>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t>（</w:t>
            </w:r>
            <w:r>
              <w:rPr>
                <w:rStyle w:val="11"/>
                <w:rFonts w:hint="eastAsia" w:ascii="宋体" w:hAnsi="宋体" w:cs="宋体"/>
                <w:sz w:val="21"/>
                <w:szCs w:val="21"/>
                <w:lang w:bidi="ar"/>
              </w:rPr>
              <w:t>5</w:t>
            </w:r>
            <w:r>
              <w:rPr>
                <w:rStyle w:val="10"/>
                <w:rFonts w:hint="eastAsia" w:ascii="宋体" w:hAnsi="宋体" w:eastAsia="宋体" w:cs="宋体"/>
                <w:sz w:val="21"/>
                <w:szCs w:val="21"/>
                <w:lang w:bidi="ar"/>
              </w:rPr>
              <w:t>项）</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22</w:t>
            </w:r>
            <w:r>
              <w:rPr>
                <w:rStyle w:val="10"/>
                <w:rFonts w:hint="eastAsia" w:ascii="宋体" w:hAnsi="宋体" w:eastAsia="宋体" w:cs="宋体"/>
                <w:sz w:val="21"/>
                <w:szCs w:val="21"/>
                <w:lang w:bidi="ar"/>
              </w:rPr>
              <w:t>）校级领导干部社会兼职情况</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情况不存在</w:t>
            </w:r>
          </w:p>
        </w:tc>
      </w:tr>
      <w:tr>
        <w:tblPrEx>
          <w:tblCellMar>
            <w:top w:w="15" w:type="dxa"/>
            <w:left w:w="15" w:type="dxa"/>
            <w:bottom w:w="15" w:type="dxa"/>
            <w:right w:w="15" w:type="dxa"/>
          </w:tblCellMar>
        </w:tblPrEx>
        <w:trPr>
          <w:trHeight w:val="715"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23</w:t>
            </w:r>
            <w:r>
              <w:rPr>
                <w:rStyle w:val="10"/>
                <w:rFonts w:hint="eastAsia" w:ascii="宋体" w:hAnsi="宋体" w:eastAsia="宋体" w:cs="宋体"/>
                <w:sz w:val="21"/>
                <w:szCs w:val="21"/>
                <w:lang w:bidi="ar"/>
              </w:rPr>
              <w:t>）校级领导干部因公出国（境）情况</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http://www.fzlmxy.cn/index.php/xwzx/tzgg</w:t>
            </w:r>
          </w:p>
        </w:tc>
      </w:tr>
      <w:tr>
        <w:tblPrEx>
          <w:tblCellMar>
            <w:top w:w="15" w:type="dxa"/>
            <w:left w:w="15" w:type="dxa"/>
            <w:bottom w:w="15" w:type="dxa"/>
            <w:right w:w="15" w:type="dxa"/>
          </w:tblCellMar>
        </w:tblPrEx>
        <w:trPr>
          <w:trHeight w:val="715"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24</w:t>
            </w:r>
            <w:r>
              <w:rPr>
                <w:rStyle w:val="10"/>
                <w:rFonts w:hint="eastAsia" w:ascii="宋体" w:hAnsi="宋体" w:eastAsia="宋体" w:cs="宋体"/>
                <w:sz w:val="21"/>
                <w:szCs w:val="21"/>
                <w:lang w:bidi="ar"/>
              </w:rPr>
              <w:t>）岗位设置管理与聘用办法</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kern w:val="0"/>
                <w:szCs w:val="21"/>
                <w:u w:val="single"/>
                <w:lang w:bidi="ar"/>
              </w:rPr>
              <w:t>http://www.fzlmxy.cn/index.php/xwzx/tzgg</w:t>
            </w:r>
          </w:p>
        </w:tc>
      </w:tr>
      <w:tr>
        <w:tblPrEx>
          <w:tblCellMar>
            <w:top w:w="15" w:type="dxa"/>
            <w:left w:w="15" w:type="dxa"/>
            <w:bottom w:w="15" w:type="dxa"/>
            <w:right w:w="15" w:type="dxa"/>
          </w:tblCellMar>
        </w:tblPrEx>
        <w:trPr>
          <w:trHeight w:val="715"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25</w:t>
            </w:r>
            <w:r>
              <w:rPr>
                <w:rStyle w:val="10"/>
                <w:rFonts w:hint="eastAsia" w:ascii="宋体" w:hAnsi="宋体" w:eastAsia="宋体" w:cs="宋体"/>
                <w:sz w:val="21"/>
                <w:szCs w:val="21"/>
                <w:lang w:bidi="ar"/>
              </w:rPr>
              <w:t>）校内中层干部任免、人员招聘信息</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kern w:val="0"/>
                <w:szCs w:val="21"/>
                <w:u w:val="single"/>
                <w:lang w:bidi="ar"/>
              </w:rPr>
              <w:t>http://www.fzlmxy.cn/index.php/xwzx/tzgg</w:t>
            </w:r>
          </w:p>
        </w:tc>
      </w:tr>
      <w:tr>
        <w:tblPrEx>
          <w:tblCellMar>
            <w:top w:w="15" w:type="dxa"/>
            <w:left w:w="15" w:type="dxa"/>
            <w:bottom w:w="15" w:type="dxa"/>
            <w:right w:w="15" w:type="dxa"/>
          </w:tblCellMar>
        </w:tblPrEx>
        <w:trPr>
          <w:trHeight w:val="715"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26</w:t>
            </w:r>
            <w:r>
              <w:rPr>
                <w:rStyle w:val="10"/>
                <w:rFonts w:hint="eastAsia" w:ascii="宋体" w:hAnsi="宋体" w:eastAsia="宋体" w:cs="宋体"/>
                <w:sz w:val="21"/>
                <w:szCs w:val="21"/>
                <w:lang w:bidi="ar"/>
              </w:rPr>
              <w:t>）教职工争议解决办法</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color w:val="0000FF"/>
                <w:szCs w:val="21"/>
                <w:u w:val="single"/>
              </w:rPr>
              <w:t>http://www.fzlmxy.cn/index.php/xwzx/tzgg</w:t>
            </w:r>
          </w:p>
        </w:tc>
      </w:tr>
      <w:tr>
        <w:tblPrEx>
          <w:tblCellMar>
            <w:top w:w="15" w:type="dxa"/>
            <w:left w:w="15" w:type="dxa"/>
            <w:bottom w:w="15" w:type="dxa"/>
            <w:right w:w="15" w:type="dxa"/>
          </w:tblCellMar>
        </w:tblPrEx>
        <w:trPr>
          <w:trHeight w:val="598" w:hRule="atLeast"/>
        </w:trPr>
        <w:tc>
          <w:tcPr>
            <w:tcW w:w="3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Style w:val="10"/>
                <w:rFonts w:hint="eastAsia" w:ascii="宋体" w:hAnsi="宋体" w:eastAsia="宋体" w:cs="宋体"/>
                <w:sz w:val="21"/>
                <w:szCs w:val="21"/>
                <w:lang w:bidi="ar"/>
              </w:rPr>
              <w:t>教学质量信息</w:t>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t>（</w:t>
            </w:r>
            <w:r>
              <w:rPr>
                <w:rStyle w:val="11"/>
                <w:rFonts w:hint="eastAsia" w:ascii="宋体" w:hAnsi="宋体" w:cs="宋体"/>
                <w:sz w:val="21"/>
                <w:szCs w:val="21"/>
                <w:lang w:bidi="ar"/>
              </w:rPr>
              <w:t>9</w:t>
            </w:r>
            <w:r>
              <w:rPr>
                <w:rStyle w:val="10"/>
                <w:rFonts w:hint="eastAsia" w:ascii="宋体" w:hAnsi="宋体" w:eastAsia="宋体" w:cs="宋体"/>
                <w:sz w:val="21"/>
                <w:szCs w:val="21"/>
                <w:lang w:bidi="ar"/>
              </w:rPr>
              <w:t>项）</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27</w:t>
            </w:r>
            <w:r>
              <w:rPr>
                <w:rStyle w:val="10"/>
                <w:rFonts w:hint="eastAsia" w:ascii="宋体" w:hAnsi="宋体" w:eastAsia="宋体" w:cs="宋体"/>
                <w:sz w:val="21"/>
                <w:szCs w:val="21"/>
                <w:lang w:bidi="ar"/>
              </w:rPr>
              <w:t>）本科生占全日制在校生总数的比例、教师数量及结构</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情况不存在</w:t>
            </w:r>
          </w:p>
        </w:tc>
      </w:tr>
      <w:tr>
        <w:tblPrEx>
          <w:tblCellMar>
            <w:top w:w="15" w:type="dxa"/>
            <w:left w:w="15" w:type="dxa"/>
            <w:bottom w:w="15" w:type="dxa"/>
            <w:right w:w="15" w:type="dxa"/>
          </w:tblCellMar>
        </w:tblPrEx>
        <w:trPr>
          <w:trHeight w:val="612"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28</w:t>
            </w:r>
            <w:r>
              <w:rPr>
                <w:rStyle w:val="10"/>
                <w:rFonts w:hint="eastAsia" w:ascii="宋体" w:hAnsi="宋体" w:eastAsia="宋体" w:cs="宋体"/>
                <w:sz w:val="21"/>
                <w:szCs w:val="21"/>
                <w:lang w:bidi="ar"/>
              </w:rPr>
              <w:t>）专业设置、当年新增专业、停招专业名单</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kern w:val="0"/>
                <w:szCs w:val="21"/>
                <w:u w:val="single"/>
                <w:lang w:bidi="ar"/>
              </w:rPr>
              <w:t>http://www.fzlmxy.cn/index.php/jwc-index</w:t>
            </w:r>
          </w:p>
        </w:tc>
      </w:tr>
      <w:tr>
        <w:tblPrEx>
          <w:tblCellMar>
            <w:top w:w="15" w:type="dxa"/>
            <w:left w:w="15" w:type="dxa"/>
            <w:bottom w:w="15" w:type="dxa"/>
            <w:right w:w="15" w:type="dxa"/>
          </w:tblCellMar>
        </w:tblPrEx>
        <w:trPr>
          <w:trHeight w:val="715"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29</w:t>
            </w:r>
            <w:r>
              <w:rPr>
                <w:rStyle w:val="10"/>
                <w:rFonts w:hint="eastAsia" w:ascii="宋体" w:hAnsi="宋体" w:eastAsia="宋体" w:cs="宋体"/>
                <w:sz w:val="21"/>
                <w:szCs w:val="21"/>
                <w:lang w:bidi="ar"/>
              </w:rPr>
              <w:t>）全校开设课程总门数、实践教学学分占总学分比例、选修课学分占总学分比例</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http://www.fzlmxy.cn/index.php/jwc-index</w:t>
            </w:r>
          </w:p>
        </w:tc>
      </w:tr>
      <w:tr>
        <w:tblPrEx>
          <w:tblCellMar>
            <w:top w:w="15" w:type="dxa"/>
            <w:left w:w="15" w:type="dxa"/>
            <w:bottom w:w="15" w:type="dxa"/>
            <w:right w:w="15" w:type="dxa"/>
          </w:tblCellMar>
        </w:tblPrEx>
        <w:trPr>
          <w:trHeight w:val="877"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30</w:t>
            </w:r>
            <w:r>
              <w:rPr>
                <w:rStyle w:val="10"/>
                <w:rFonts w:hint="eastAsia" w:ascii="宋体" w:hAnsi="宋体" w:eastAsia="宋体" w:cs="宋体"/>
                <w:sz w:val="21"/>
                <w:szCs w:val="21"/>
                <w:lang w:bidi="ar"/>
              </w:rPr>
              <w:t>）主讲本科课程的教授占教授总数的比例、教授授本科课程占课程总门次数的比例</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情况不存在</w:t>
            </w:r>
          </w:p>
        </w:tc>
      </w:tr>
      <w:tr>
        <w:tblPrEx>
          <w:tblCellMar>
            <w:top w:w="15" w:type="dxa"/>
            <w:left w:w="15" w:type="dxa"/>
            <w:bottom w:w="15" w:type="dxa"/>
            <w:right w:w="15" w:type="dxa"/>
          </w:tblCellMar>
        </w:tblPrEx>
        <w:trPr>
          <w:trHeight w:val="651"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31</w:t>
            </w:r>
            <w:r>
              <w:rPr>
                <w:rStyle w:val="10"/>
                <w:rFonts w:hint="eastAsia" w:ascii="宋体" w:hAnsi="宋体" w:eastAsia="宋体" w:cs="宋体"/>
                <w:sz w:val="21"/>
                <w:szCs w:val="21"/>
                <w:lang w:bidi="ar"/>
              </w:rPr>
              <w:t>）促进毕业生就业的政策措施和指导服务</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color w:val="000000"/>
                <w:kern w:val="0"/>
                <w:szCs w:val="21"/>
                <w:lang w:bidi="ar"/>
              </w:rPr>
              <w:t>http://www.fzlmxy.cn/index.php/jwc-index</w:t>
            </w:r>
          </w:p>
        </w:tc>
      </w:tr>
      <w:tr>
        <w:tblPrEx>
          <w:tblCellMar>
            <w:top w:w="15" w:type="dxa"/>
            <w:left w:w="15" w:type="dxa"/>
            <w:bottom w:w="15" w:type="dxa"/>
            <w:right w:w="15" w:type="dxa"/>
          </w:tblCellMar>
        </w:tblPrEx>
        <w:trPr>
          <w:trHeight w:val="651"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32</w:t>
            </w:r>
            <w:r>
              <w:rPr>
                <w:rStyle w:val="10"/>
                <w:rFonts w:hint="eastAsia" w:ascii="宋体" w:hAnsi="宋体" w:eastAsia="宋体" w:cs="宋体"/>
                <w:sz w:val="21"/>
                <w:szCs w:val="21"/>
                <w:lang w:bidi="ar"/>
              </w:rPr>
              <w:t>）毕业生的规模、结构、就业率、就业流向</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color w:val="000000"/>
                <w:kern w:val="0"/>
                <w:szCs w:val="21"/>
                <w:lang w:bidi="ar"/>
              </w:rPr>
              <w:t>http://www.fzlmxy.cn/index.php/jwc-index</w:t>
            </w:r>
          </w:p>
        </w:tc>
      </w:tr>
      <w:tr>
        <w:tblPrEx>
          <w:tblCellMar>
            <w:top w:w="15" w:type="dxa"/>
            <w:left w:w="15" w:type="dxa"/>
            <w:bottom w:w="15" w:type="dxa"/>
            <w:right w:w="15" w:type="dxa"/>
          </w:tblCellMar>
        </w:tblPrEx>
        <w:trPr>
          <w:trHeight w:val="651"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33</w:t>
            </w:r>
            <w:r>
              <w:rPr>
                <w:rStyle w:val="10"/>
                <w:rFonts w:hint="eastAsia" w:ascii="宋体" w:hAnsi="宋体" w:eastAsia="宋体" w:cs="宋体"/>
                <w:sz w:val="21"/>
                <w:szCs w:val="21"/>
                <w:lang w:bidi="ar"/>
              </w:rPr>
              <w:t>）高校毕业生就业质量年度报告</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color w:val="000000"/>
                <w:kern w:val="0"/>
                <w:szCs w:val="21"/>
                <w:lang w:bidi="ar"/>
              </w:rPr>
              <w:t>http://www.fzlmxy.cn/index.php/jwc-index</w:t>
            </w:r>
          </w:p>
        </w:tc>
      </w:tr>
      <w:tr>
        <w:tblPrEx>
          <w:tblCellMar>
            <w:top w:w="15" w:type="dxa"/>
            <w:left w:w="15" w:type="dxa"/>
            <w:bottom w:w="15" w:type="dxa"/>
            <w:right w:w="15" w:type="dxa"/>
          </w:tblCellMar>
        </w:tblPrEx>
        <w:trPr>
          <w:trHeight w:val="426"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34</w:t>
            </w:r>
            <w:r>
              <w:rPr>
                <w:rStyle w:val="10"/>
                <w:rFonts w:hint="eastAsia" w:ascii="宋体" w:hAnsi="宋体" w:eastAsia="宋体" w:cs="宋体"/>
                <w:sz w:val="21"/>
                <w:szCs w:val="21"/>
                <w:lang w:bidi="ar"/>
              </w:rPr>
              <w:t>）艺术教育发展年度报告</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情况不存在</w:t>
            </w:r>
          </w:p>
        </w:tc>
      </w:tr>
      <w:tr>
        <w:tblPrEx>
          <w:tblCellMar>
            <w:top w:w="15" w:type="dxa"/>
            <w:left w:w="15" w:type="dxa"/>
            <w:bottom w:w="15" w:type="dxa"/>
            <w:right w:w="15" w:type="dxa"/>
          </w:tblCellMar>
        </w:tblPrEx>
        <w:trPr>
          <w:trHeight w:val="278"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left"/>
              <w:textAlignment w:val="center"/>
              <w:rPr>
                <w:rStyle w:val="10"/>
                <w:rFonts w:hint="eastAsia" w:ascii="宋体" w:hAnsi="宋体" w:eastAsia="宋体" w:cs="宋体"/>
                <w:sz w:val="21"/>
                <w:szCs w:val="21"/>
                <w:lang w:bidi="ar"/>
              </w:rPr>
            </w:pPr>
            <w:r>
              <w:rPr>
                <w:rStyle w:val="10"/>
                <w:rFonts w:hint="eastAsia" w:ascii="宋体" w:hAnsi="宋体" w:eastAsia="宋体" w:cs="宋体"/>
                <w:sz w:val="21"/>
                <w:szCs w:val="21"/>
                <w:lang w:bidi="ar"/>
              </w:rPr>
              <w:t>本科教学质量报告</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情况不存在</w:t>
            </w:r>
          </w:p>
        </w:tc>
      </w:tr>
      <w:tr>
        <w:tblPrEx>
          <w:tblCellMar>
            <w:top w:w="15" w:type="dxa"/>
            <w:left w:w="15" w:type="dxa"/>
            <w:bottom w:w="15" w:type="dxa"/>
            <w:right w:w="15" w:type="dxa"/>
          </w:tblCellMar>
        </w:tblPrEx>
        <w:trPr>
          <w:trHeight w:val="335" w:hRule="atLeast"/>
        </w:trPr>
        <w:tc>
          <w:tcPr>
            <w:tcW w:w="3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Style w:val="10"/>
                <w:rFonts w:hint="eastAsia" w:ascii="宋体" w:hAnsi="宋体" w:eastAsia="宋体" w:cs="宋体"/>
                <w:sz w:val="21"/>
                <w:szCs w:val="21"/>
                <w:lang w:bidi="ar"/>
              </w:rPr>
              <w:t>学生管理信息</w:t>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t>（</w:t>
            </w:r>
            <w:r>
              <w:rPr>
                <w:rStyle w:val="11"/>
                <w:rFonts w:hint="eastAsia" w:ascii="宋体" w:hAnsi="宋体" w:cs="宋体"/>
                <w:sz w:val="21"/>
                <w:szCs w:val="21"/>
                <w:lang w:bidi="ar"/>
              </w:rPr>
              <w:t>4</w:t>
            </w:r>
            <w:r>
              <w:rPr>
                <w:rStyle w:val="10"/>
                <w:rFonts w:hint="eastAsia" w:ascii="宋体" w:hAnsi="宋体" w:eastAsia="宋体" w:cs="宋体"/>
                <w:sz w:val="21"/>
                <w:szCs w:val="21"/>
                <w:lang w:bidi="ar"/>
              </w:rPr>
              <w:t>项）</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36</w:t>
            </w:r>
            <w:r>
              <w:rPr>
                <w:rStyle w:val="10"/>
                <w:rFonts w:hint="eastAsia" w:ascii="宋体" w:hAnsi="宋体" w:eastAsia="宋体" w:cs="宋体"/>
                <w:sz w:val="21"/>
                <w:szCs w:val="21"/>
                <w:lang w:bidi="ar"/>
              </w:rPr>
              <w:t>）学籍管理办法</w:t>
            </w:r>
          </w:p>
        </w:tc>
        <w:tc>
          <w:tcPr>
            <w:tcW w:w="43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FF"/>
                <w:szCs w:val="21"/>
                <w:u w:val="single"/>
              </w:rPr>
            </w:pPr>
            <w:r>
              <w:rPr>
                <w:rFonts w:hint="eastAsia" w:ascii="宋体" w:hAnsi="宋体" w:cs="宋体"/>
                <w:kern w:val="0"/>
                <w:szCs w:val="21"/>
                <w:u w:val="single"/>
                <w:lang w:bidi="ar"/>
              </w:rPr>
              <w:t>http://www.fzlmxy.cn/index.php/xgc-index</w:t>
            </w:r>
          </w:p>
        </w:tc>
      </w:tr>
      <w:tr>
        <w:tblPrEx>
          <w:tblCellMar>
            <w:top w:w="15" w:type="dxa"/>
            <w:left w:w="15" w:type="dxa"/>
            <w:bottom w:w="15" w:type="dxa"/>
            <w:right w:w="15" w:type="dxa"/>
          </w:tblCellMar>
        </w:tblPrEx>
        <w:trPr>
          <w:trHeight w:val="715"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37</w:t>
            </w:r>
            <w:r>
              <w:rPr>
                <w:rStyle w:val="10"/>
                <w:rFonts w:hint="eastAsia" w:ascii="宋体" w:hAnsi="宋体" w:eastAsia="宋体" w:cs="宋体"/>
                <w:sz w:val="21"/>
                <w:szCs w:val="21"/>
                <w:lang w:bidi="ar"/>
              </w:rPr>
              <w:t>）学生奖学金、助学金、学费减免、助学贷款、勤工俭学的申请与管理规定</w:t>
            </w:r>
          </w:p>
        </w:tc>
        <w:tc>
          <w:tcPr>
            <w:tcW w:w="43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FF"/>
                <w:szCs w:val="21"/>
                <w:u w:val="single"/>
              </w:rPr>
            </w:pPr>
          </w:p>
        </w:tc>
      </w:tr>
      <w:tr>
        <w:tblPrEx>
          <w:tblCellMar>
            <w:top w:w="15" w:type="dxa"/>
            <w:left w:w="15" w:type="dxa"/>
            <w:bottom w:w="15" w:type="dxa"/>
            <w:right w:w="15" w:type="dxa"/>
          </w:tblCellMar>
        </w:tblPrEx>
        <w:trPr>
          <w:trHeight w:val="438"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38</w:t>
            </w:r>
            <w:r>
              <w:rPr>
                <w:rStyle w:val="10"/>
                <w:rFonts w:hint="eastAsia" w:ascii="宋体" w:hAnsi="宋体" w:eastAsia="宋体" w:cs="宋体"/>
                <w:sz w:val="21"/>
                <w:szCs w:val="21"/>
                <w:lang w:bidi="ar"/>
              </w:rPr>
              <w:t>）学生奖励处罚办法</w:t>
            </w:r>
          </w:p>
        </w:tc>
        <w:tc>
          <w:tcPr>
            <w:tcW w:w="43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FF"/>
                <w:szCs w:val="21"/>
                <w:u w:val="single"/>
              </w:rPr>
            </w:pPr>
          </w:p>
        </w:tc>
      </w:tr>
      <w:tr>
        <w:tblPrEx>
          <w:tblCellMar>
            <w:top w:w="15" w:type="dxa"/>
            <w:left w:w="15" w:type="dxa"/>
            <w:bottom w:w="15" w:type="dxa"/>
            <w:right w:w="15" w:type="dxa"/>
          </w:tblCellMar>
        </w:tblPrEx>
        <w:trPr>
          <w:trHeight w:val="363"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39</w:t>
            </w:r>
            <w:r>
              <w:rPr>
                <w:rStyle w:val="10"/>
                <w:rFonts w:hint="eastAsia" w:ascii="宋体" w:hAnsi="宋体" w:eastAsia="宋体" w:cs="宋体"/>
                <w:sz w:val="21"/>
                <w:szCs w:val="21"/>
                <w:lang w:bidi="ar"/>
              </w:rPr>
              <w:t>）学生申诉办法</w:t>
            </w:r>
          </w:p>
        </w:tc>
        <w:tc>
          <w:tcPr>
            <w:tcW w:w="43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FF"/>
                <w:szCs w:val="21"/>
                <w:u w:val="single"/>
              </w:rPr>
            </w:pPr>
          </w:p>
        </w:tc>
      </w:tr>
      <w:tr>
        <w:tblPrEx>
          <w:tblCellMar>
            <w:top w:w="15" w:type="dxa"/>
            <w:left w:w="15" w:type="dxa"/>
            <w:bottom w:w="15" w:type="dxa"/>
            <w:right w:w="15" w:type="dxa"/>
          </w:tblCellMar>
        </w:tblPrEx>
        <w:trPr>
          <w:trHeight w:val="612" w:hRule="atLeast"/>
        </w:trPr>
        <w:tc>
          <w:tcPr>
            <w:tcW w:w="3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Style w:val="10"/>
                <w:rFonts w:hint="eastAsia" w:ascii="宋体" w:hAnsi="宋体" w:eastAsia="宋体" w:cs="宋体"/>
                <w:sz w:val="21"/>
                <w:szCs w:val="21"/>
                <w:lang w:bidi="ar"/>
              </w:rPr>
              <w:t>学风建设信息</w:t>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t>（</w:t>
            </w:r>
            <w:r>
              <w:rPr>
                <w:rStyle w:val="11"/>
                <w:rFonts w:hint="eastAsia" w:ascii="宋体" w:hAnsi="宋体" w:cs="宋体"/>
                <w:sz w:val="21"/>
                <w:szCs w:val="21"/>
                <w:lang w:bidi="ar"/>
              </w:rPr>
              <w:t>3</w:t>
            </w:r>
            <w:r>
              <w:rPr>
                <w:rStyle w:val="10"/>
                <w:rFonts w:hint="eastAsia" w:ascii="宋体" w:hAnsi="宋体" w:eastAsia="宋体" w:cs="宋体"/>
                <w:sz w:val="21"/>
                <w:szCs w:val="21"/>
                <w:lang w:bidi="ar"/>
              </w:rPr>
              <w:t>项）</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40</w:t>
            </w:r>
            <w:r>
              <w:rPr>
                <w:rStyle w:val="10"/>
                <w:rFonts w:hint="eastAsia" w:ascii="宋体" w:hAnsi="宋体" w:eastAsia="宋体" w:cs="宋体"/>
                <w:sz w:val="21"/>
                <w:szCs w:val="21"/>
                <w:lang w:bidi="ar"/>
              </w:rPr>
              <w:t>）学风建设机构</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FF"/>
                <w:szCs w:val="21"/>
                <w:u w:val="single"/>
              </w:rPr>
            </w:pPr>
            <w:r>
              <w:rPr>
                <w:rFonts w:hint="eastAsia" w:ascii="宋体" w:hAnsi="宋体" w:cs="宋体"/>
                <w:color w:val="auto"/>
                <w:szCs w:val="21"/>
                <w:u w:val="single"/>
              </w:rPr>
              <w:t>http://www.fzlmxy.cn/index.php/jwc-index</w:t>
            </w:r>
          </w:p>
        </w:tc>
      </w:tr>
      <w:tr>
        <w:tblPrEx>
          <w:tblCellMar>
            <w:top w:w="15" w:type="dxa"/>
            <w:left w:w="15" w:type="dxa"/>
            <w:bottom w:w="15" w:type="dxa"/>
            <w:right w:w="15" w:type="dxa"/>
          </w:tblCellMar>
        </w:tblPrEx>
        <w:trPr>
          <w:trHeight w:val="410"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41</w:t>
            </w:r>
            <w:r>
              <w:rPr>
                <w:rStyle w:val="10"/>
                <w:rFonts w:hint="eastAsia" w:ascii="宋体" w:hAnsi="宋体" w:eastAsia="宋体" w:cs="宋体"/>
                <w:sz w:val="21"/>
                <w:szCs w:val="21"/>
                <w:lang w:bidi="ar"/>
              </w:rPr>
              <w:t>）学术规范制度</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FF"/>
                <w:szCs w:val="21"/>
                <w:u w:val="single"/>
              </w:rPr>
            </w:pPr>
            <w:r>
              <w:rPr>
                <w:rFonts w:hint="eastAsia" w:ascii="宋体" w:hAnsi="宋体" w:cs="宋体"/>
                <w:color w:val="000000"/>
                <w:kern w:val="0"/>
                <w:szCs w:val="21"/>
                <w:lang w:bidi="ar"/>
              </w:rPr>
              <w:t>情况不存在</w:t>
            </w:r>
          </w:p>
        </w:tc>
      </w:tr>
      <w:tr>
        <w:tblPrEx>
          <w:tblCellMar>
            <w:top w:w="15" w:type="dxa"/>
            <w:left w:w="15" w:type="dxa"/>
            <w:bottom w:w="15" w:type="dxa"/>
            <w:right w:w="15" w:type="dxa"/>
          </w:tblCellMar>
        </w:tblPrEx>
        <w:trPr>
          <w:trHeight w:val="439"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42</w:t>
            </w:r>
            <w:r>
              <w:rPr>
                <w:rStyle w:val="10"/>
                <w:rFonts w:hint="eastAsia" w:ascii="宋体" w:hAnsi="宋体" w:eastAsia="宋体" w:cs="宋体"/>
                <w:sz w:val="21"/>
                <w:szCs w:val="21"/>
                <w:lang w:bidi="ar"/>
              </w:rPr>
              <w:t>）学术不端行为查处机制</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FF"/>
                <w:szCs w:val="21"/>
                <w:u w:val="single"/>
              </w:rPr>
            </w:pPr>
            <w:r>
              <w:rPr>
                <w:rFonts w:hint="eastAsia" w:ascii="宋体" w:hAnsi="宋体" w:cs="宋体"/>
                <w:color w:val="000000"/>
                <w:kern w:val="0"/>
                <w:szCs w:val="21"/>
                <w:lang w:bidi="ar"/>
              </w:rPr>
              <w:t>情况不存在</w:t>
            </w:r>
          </w:p>
        </w:tc>
      </w:tr>
      <w:tr>
        <w:tblPrEx>
          <w:tblCellMar>
            <w:top w:w="15" w:type="dxa"/>
            <w:left w:w="15" w:type="dxa"/>
            <w:bottom w:w="15" w:type="dxa"/>
            <w:right w:w="15" w:type="dxa"/>
          </w:tblCellMar>
        </w:tblPrEx>
        <w:trPr>
          <w:trHeight w:val="480" w:hRule="atLeast"/>
        </w:trPr>
        <w:tc>
          <w:tcPr>
            <w:tcW w:w="3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Style w:val="10"/>
                <w:rFonts w:hint="eastAsia" w:ascii="宋体" w:hAnsi="宋体" w:eastAsia="宋体" w:cs="宋体"/>
                <w:sz w:val="21"/>
                <w:szCs w:val="21"/>
                <w:lang w:bidi="ar"/>
              </w:rPr>
              <w:t>学位、学科信息</w:t>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t>（</w:t>
            </w:r>
            <w:r>
              <w:rPr>
                <w:rStyle w:val="11"/>
                <w:rFonts w:hint="eastAsia" w:ascii="宋体" w:hAnsi="宋体" w:cs="宋体"/>
                <w:sz w:val="21"/>
                <w:szCs w:val="21"/>
                <w:lang w:bidi="ar"/>
              </w:rPr>
              <w:t>4</w:t>
            </w:r>
            <w:r>
              <w:rPr>
                <w:rStyle w:val="10"/>
                <w:rFonts w:hint="eastAsia" w:ascii="宋体" w:hAnsi="宋体" w:eastAsia="宋体" w:cs="宋体"/>
                <w:sz w:val="21"/>
                <w:szCs w:val="21"/>
                <w:lang w:bidi="ar"/>
              </w:rPr>
              <w:t>项）</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43</w:t>
            </w:r>
            <w:r>
              <w:rPr>
                <w:rStyle w:val="10"/>
                <w:rFonts w:hint="eastAsia" w:ascii="宋体" w:hAnsi="宋体" w:eastAsia="宋体" w:cs="宋体"/>
                <w:sz w:val="21"/>
                <w:szCs w:val="21"/>
                <w:lang w:bidi="ar"/>
              </w:rPr>
              <w:t>）授予博士、硕士、学士学位的基本要求</w:t>
            </w:r>
          </w:p>
        </w:tc>
        <w:tc>
          <w:tcPr>
            <w:tcW w:w="43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情况不存在</w:t>
            </w:r>
          </w:p>
        </w:tc>
      </w:tr>
      <w:tr>
        <w:tblPrEx>
          <w:tblCellMar>
            <w:top w:w="15" w:type="dxa"/>
            <w:left w:w="15" w:type="dxa"/>
            <w:bottom w:w="15" w:type="dxa"/>
            <w:right w:w="15" w:type="dxa"/>
          </w:tblCellMar>
        </w:tblPrEx>
        <w:trPr>
          <w:trHeight w:val="1006"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44</w:t>
            </w:r>
            <w:r>
              <w:rPr>
                <w:rStyle w:val="10"/>
                <w:rFonts w:hint="eastAsia" w:ascii="宋体" w:hAnsi="宋体" w:eastAsia="宋体" w:cs="宋体"/>
                <w:sz w:val="21"/>
                <w:szCs w:val="21"/>
                <w:lang w:bidi="ar"/>
              </w:rPr>
              <w:t>）拟授予硕士、博士学位同等学力人员资格审查和学力水平认定</w:t>
            </w:r>
          </w:p>
        </w:tc>
        <w:tc>
          <w:tcPr>
            <w:tcW w:w="43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15" w:type="dxa"/>
            <w:left w:w="15" w:type="dxa"/>
            <w:bottom w:w="15" w:type="dxa"/>
            <w:right w:w="15" w:type="dxa"/>
          </w:tblCellMar>
        </w:tblPrEx>
        <w:trPr>
          <w:trHeight w:val="583"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45</w:t>
            </w:r>
            <w:r>
              <w:rPr>
                <w:rStyle w:val="10"/>
                <w:rFonts w:hint="eastAsia" w:ascii="宋体" w:hAnsi="宋体" w:eastAsia="宋体" w:cs="宋体"/>
                <w:sz w:val="21"/>
                <w:szCs w:val="21"/>
                <w:lang w:bidi="ar"/>
              </w:rPr>
              <w:t>）新增硕士、博士学位授权学科或专业学位授权点审核办法</w:t>
            </w:r>
          </w:p>
        </w:tc>
        <w:tc>
          <w:tcPr>
            <w:tcW w:w="43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15" w:type="dxa"/>
            <w:left w:w="15" w:type="dxa"/>
            <w:bottom w:w="15" w:type="dxa"/>
            <w:right w:w="15" w:type="dxa"/>
          </w:tblCellMar>
        </w:tblPrEx>
        <w:trPr>
          <w:trHeight w:val="734"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46</w:t>
            </w:r>
            <w:r>
              <w:rPr>
                <w:rStyle w:val="10"/>
                <w:rFonts w:hint="eastAsia" w:ascii="宋体" w:hAnsi="宋体" w:eastAsia="宋体" w:cs="宋体"/>
                <w:sz w:val="21"/>
                <w:szCs w:val="21"/>
                <w:lang w:bidi="ar"/>
              </w:rPr>
              <w:t>）拟新增学位授权学科或专业学位授权点的申报及论证材料</w:t>
            </w:r>
          </w:p>
        </w:tc>
        <w:tc>
          <w:tcPr>
            <w:tcW w:w="433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15" w:type="dxa"/>
            <w:left w:w="15" w:type="dxa"/>
            <w:bottom w:w="15" w:type="dxa"/>
            <w:right w:w="15" w:type="dxa"/>
          </w:tblCellMar>
        </w:tblPrEx>
        <w:trPr>
          <w:trHeight w:val="524" w:hRule="atLeast"/>
        </w:trPr>
        <w:tc>
          <w:tcPr>
            <w:tcW w:w="3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Style w:val="10"/>
                <w:rFonts w:hint="eastAsia" w:ascii="宋体" w:hAnsi="宋体" w:eastAsia="宋体" w:cs="宋体"/>
                <w:sz w:val="21"/>
                <w:szCs w:val="21"/>
                <w:lang w:bidi="ar"/>
              </w:rPr>
              <w:t>对外交流与合作信息</w:t>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t>（</w:t>
            </w:r>
            <w:r>
              <w:rPr>
                <w:rStyle w:val="11"/>
                <w:rFonts w:hint="eastAsia" w:ascii="宋体" w:hAnsi="宋体" w:cs="宋体"/>
                <w:sz w:val="21"/>
                <w:szCs w:val="21"/>
                <w:lang w:bidi="ar"/>
              </w:rPr>
              <w:t>2</w:t>
            </w:r>
            <w:r>
              <w:rPr>
                <w:rStyle w:val="10"/>
                <w:rFonts w:hint="eastAsia" w:ascii="宋体" w:hAnsi="宋体" w:eastAsia="宋体" w:cs="宋体"/>
                <w:sz w:val="21"/>
                <w:szCs w:val="21"/>
                <w:lang w:bidi="ar"/>
              </w:rPr>
              <w:t>项）</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47</w:t>
            </w:r>
            <w:r>
              <w:rPr>
                <w:rStyle w:val="10"/>
                <w:rFonts w:hint="eastAsia" w:ascii="宋体" w:hAnsi="宋体" w:eastAsia="宋体" w:cs="宋体"/>
                <w:sz w:val="21"/>
                <w:szCs w:val="21"/>
                <w:lang w:bidi="ar"/>
              </w:rPr>
              <w:t>）中外合作办学情况</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http://www.fzlmxy.cn/</w:t>
            </w:r>
          </w:p>
        </w:tc>
      </w:tr>
      <w:tr>
        <w:tblPrEx>
          <w:tblCellMar>
            <w:top w:w="15" w:type="dxa"/>
            <w:left w:w="15" w:type="dxa"/>
            <w:bottom w:w="15" w:type="dxa"/>
            <w:right w:w="15" w:type="dxa"/>
          </w:tblCellMar>
        </w:tblPrEx>
        <w:trPr>
          <w:trHeight w:val="484"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48</w:t>
            </w:r>
            <w:r>
              <w:rPr>
                <w:rStyle w:val="10"/>
                <w:rFonts w:hint="eastAsia" w:ascii="宋体" w:hAnsi="宋体" w:eastAsia="宋体" w:cs="宋体"/>
                <w:sz w:val="21"/>
                <w:szCs w:val="21"/>
                <w:lang w:bidi="ar"/>
              </w:rPr>
              <w:t>）来华留学生管理相关规定</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kern w:val="0"/>
                <w:szCs w:val="21"/>
                <w:lang w:bidi="ar"/>
              </w:rPr>
              <w:t>情况不存在</w:t>
            </w:r>
          </w:p>
        </w:tc>
      </w:tr>
      <w:tr>
        <w:tblPrEx>
          <w:tblCellMar>
            <w:top w:w="15" w:type="dxa"/>
            <w:left w:w="15" w:type="dxa"/>
            <w:bottom w:w="15" w:type="dxa"/>
            <w:right w:w="15" w:type="dxa"/>
          </w:tblCellMar>
        </w:tblPrEx>
        <w:trPr>
          <w:trHeight w:val="742" w:hRule="atLeast"/>
        </w:trPr>
        <w:tc>
          <w:tcPr>
            <w:tcW w:w="3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Style w:val="10"/>
                <w:rFonts w:hint="eastAsia" w:ascii="宋体" w:hAnsi="宋体" w:eastAsia="宋体" w:cs="宋体"/>
                <w:sz w:val="21"/>
                <w:szCs w:val="21"/>
                <w:lang w:bidi="ar"/>
              </w:rPr>
              <w:t>其他</w:t>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br w:type="textWrapping"/>
            </w:r>
            <w:r>
              <w:rPr>
                <w:rStyle w:val="10"/>
                <w:rFonts w:hint="eastAsia" w:ascii="宋体" w:hAnsi="宋体" w:eastAsia="宋体" w:cs="宋体"/>
                <w:sz w:val="21"/>
                <w:szCs w:val="21"/>
                <w:lang w:bidi="ar"/>
              </w:rPr>
              <w:t>（</w:t>
            </w:r>
            <w:r>
              <w:rPr>
                <w:rStyle w:val="11"/>
                <w:rFonts w:hint="eastAsia" w:ascii="宋体" w:hAnsi="宋体" w:cs="宋体"/>
                <w:sz w:val="21"/>
                <w:szCs w:val="21"/>
                <w:lang w:bidi="ar"/>
              </w:rPr>
              <w:t>2</w:t>
            </w:r>
            <w:r>
              <w:rPr>
                <w:rStyle w:val="10"/>
                <w:rFonts w:hint="eastAsia" w:ascii="宋体" w:hAnsi="宋体" w:eastAsia="宋体" w:cs="宋体"/>
                <w:sz w:val="21"/>
                <w:szCs w:val="21"/>
                <w:lang w:bidi="ar"/>
              </w:rPr>
              <w:t>项）</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49</w:t>
            </w:r>
            <w:r>
              <w:rPr>
                <w:rStyle w:val="10"/>
                <w:rFonts w:hint="eastAsia" w:ascii="宋体" w:hAnsi="宋体" w:eastAsia="宋体" w:cs="宋体"/>
                <w:sz w:val="21"/>
                <w:szCs w:val="21"/>
                <w:lang w:bidi="ar"/>
              </w:rPr>
              <w:t>）巡视组反馈意见，落实反馈意见整改情况</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未到公开时间</w:t>
            </w:r>
            <w:r>
              <w:rPr>
                <w:rFonts w:hint="eastAsia" w:ascii="宋体" w:hAnsi="宋体" w:cs="宋体"/>
                <w:color w:val="000000"/>
                <w:szCs w:val="21"/>
              </w:rPr>
              <w:t>节点</w:t>
            </w:r>
            <w:r>
              <w:rPr>
                <w:rFonts w:hint="eastAsia" w:ascii="宋体" w:hAnsi="宋体" w:cs="宋体"/>
                <w:color w:val="000000"/>
                <w:kern w:val="0"/>
                <w:szCs w:val="21"/>
                <w:lang w:bidi="ar"/>
              </w:rPr>
              <w:t>，尚未公布。将按规定时间及时公开。</w:t>
            </w:r>
          </w:p>
        </w:tc>
      </w:tr>
      <w:tr>
        <w:tblPrEx>
          <w:tblCellMar>
            <w:top w:w="15" w:type="dxa"/>
            <w:left w:w="15" w:type="dxa"/>
            <w:bottom w:w="15" w:type="dxa"/>
            <w:right w:w="15" w:type="dxa"/>
          </w:tblCellMar>
        </w:tblPrEx>
        <w:trPr>
          <w:trHeight w:val="1548" w:hRule="atLeast"/>
        </w:trPr>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0"/>
                <w:rFonts w:hint="eastAsia" w:ascii="宋体" w:hAnsi="宋体" w:eastAsia="宋体" w:cs="宋体"/>
                <w:sz w:val="21"/>
                <w:szCs w:val="21"/>
                <w:lang w:bidi="ar"/>
              </w:rPr>
              <w:t>（</w:t>
            </w:r>
            <w:r>
              <w:rPr>
                <w:rStyle w:val="11"/>
                <w:rFonts w:hint="eastAsia" w:ascii="宋体" w:hAnsi="宋体" w:cs="宋体"/>
                <w:sz w:val="21"/>
                <w:szCs w:val="21"/>
                <w:lang w:bidi="ar"/>
              </w:rPr>
              <w:t>50</w:t>
            </w:r>
            <w:r>
              <w:rPr>
                <w:rStyle w:val="10"/>
                <w:rFonts w:hint="eastAsia" w:ascii="宋体" w:hAnsi="宋体" w:eastAsia="宋体" w:cs="宋体"/>
                <w:sz w:val="21"/>
                <w:szCs w:val="21"/>
                <w:lang w:bidi="ar"/>
              </w:rPr>
              <w:t>）</w:t>
            </w:r>
            <w:r>
              <w:rPr>
                <w:rStyle w:val="10"/>
                <w:rFonts w:hint="eastAsia" w:ascii="宋体" w:hAnsi="宋体" w:eastAsia="宋体" w:cs="宋体"/>
                <w:sz w:val="21"/>
                <w:szCs w:val="21"/>
                <w:lang w:eastAsia="zh-CN" w:bidi="ar"/>
              </w:rPr>
              <w:t>新冠肺炎疫情防控、</w:t>
            </w:r>
            <w:r>
              <w:rPr>
                <w:rStyle w:val="10"/>
                <w:rFonts w:hint="eastAsia" w:ascii="宋体" w:hAnsi="宋体" w:eastAsia="宋体" w:cs="宋体"/>
                <w:sz w:val="21"/>
                <w:szCs w:val="21"/>
                <w:lang w:bidi="ar"/>
              </w:rPr>
              <w:t>自然灾害等突发事件的应急处理预案、预警信息和处置情况，涉及学校的重大事件的调查和处理情况</w:t>
            </w:r>
          </w:p>
        </w:tc>
        <w:tc>
          <w:tcPr>
            <w:tcW w:w="43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kern w:val="0"/>
                <w:szCs w:val="21"/>
                <w:u w:val="single"/>
                <w:lang w:bidi="ar"/>
              </w:rPr>
            </w:pPr>
            <w:r>
              <w:rPr>
                <w:rFonts w:hint="eastAsia" w:ascii="宋体" w:hAnsi="宋体" w:cs="宋体"/>
                <w:kern w:val="0"/>
                <w:szCs w:val="21"/>
                <w:u w:val="single"/>
                <w:lang w:bidi="ar"/>
              </w:rPr>
              <w:t>http://www.fzlmxy.cn/index.php/xwzx/xxxw</w:t>
            </w:r>
          </w:p>
        </w:tc>
      </w:tr>
    </w:tbl>
    <w:p>
      <w:pPr>
        <w:spacing w:line="360" w:lineRule="auto"/>
        <w:rPr>
          <w:rFonts w:hint="eastAsia" w:ascii="宋体" w:hAnsi="宋体"/>
          <w:color w:val="000000"/>
          <w:sz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0485D"/>
    <w:multiLevelType w:val="singleLevel"/>
    <w:tmpl w:val="59F0485D"/>
    <w:lvl w:ilvl="0" w:tentative="0">
      <w:start w:val="3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M2JmMTdmZDFkMDE4MWM1MjU3YzFhYTRlMWI5ZTYifQ=="/>
  </w:docVars>
  <w:rsids>
    <w:rsidRoot w:val="747F5EB1"/>
    <w:rsid w:val="077702AA"/>
    <w:rsid w:val="0E1314D8"/>
    <w:rsid w:val="21447AE5"/>
    <w:rsid w:val="2B8966B4"/>
    <w:rsid w:val="2F0E0DA7"/>
    <w:rsid w:val="37DA58A3"/>
    <w:rsid w:val="3A8E2E1A"/>
    <w:rsid w:val="468246B2"/>
    <w:rsid w:val="51C86D13"/>
    <w:rsid w:val="52406017"/>
    <w:rsid w:val="534D5F84"/>
    <w:rsid w:val="594910BA"/>
    <w:rsid w:val="5B1A029B"/>
    <w:rsid w:val="5C244881"/>
    <w:rsid w:val="5D0F2720"/>
    <w:rsid w:val="5DB93B95"/>
    <w:rsid w:val="6EEE18A6"/>
    <w:rsid w:val="703A6FBE"/>
    <w:rsid w:val="747F5EB1"/>
    <w:rsid w:val="74C535A1"/>
    <w:rsid w:val="75693128"/>
    <w:rsid w:val="790A7EA5"/>
    <w:rsid w:val="7B9C5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pPr>
      <w:spacing w:after="0"/>
    </w:pPr>
    <w:rPr>
      <w:sz w:val="18"/>
      <w:szCs w:val="18"/>
    </w:rPr>
  </w:style>
  <w:style w:type="paragraph" w:styleId="3">
    <w:name w:val="Normal Indent"/>
    <w:basedOn w:val="1"/>
    <w:qFormat/>
    <w:uiPriority w:val="99"/>
    <w:pPr>
      <w:ind w:firstLine="420" w:firstLineChars="200"/>
    </w:pPr>
    <w:rPr>
      <w:rFonts w:cs="Times New Roman"/>
    </w:rPr>
  </w:style>
  <w:style w:type="paragraph" w:styleId="4">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7">
    <w:name w:val="style25"/>
    <w:basedOn w:val="1"/>
    <w:qFormat/>
    <w:uiPriority w:val="0"/>
    <w:pPr>
      <w:widowControl/>
      <w:spacing w:before="100" w:beforeAutospacing="1" w:after="100" w:afterAutospacing="1"/>
      <w:jc w:val="left"/>
    </w:pPr>
    <w:rPr>
      <w:rFonts w:ascii="宋体" w:hAnsi="宋体" w:cs="宋体"/>
      <w:b/>
      <w:bCs/>
      <w:color w:val="000000"/>
      <w:kern w:val="0"/>
      <w:sz w:val="72"/>
      <w:szCs w:val="72"/>
    </w:rPr>
  </w:style>
  <w:style w:type="character" w:customStyle="1" w:styleId="8">
    <w:name w:val="font121"/>
    <w:basedOn w:val="6"/>
    <w:qFormat/>
    <w:uiPriority w:val="0"/>
    <w:rPr>
      <w:rFonts w:hint="default" w:ascii="Times New Roman" w:hAnsi="Times New Roman" w:cs="Times New Roman"/>
      <w:b/>
      <w:color w:val="000000"/>
      <w:sz w:val="24"/>
      <w:szCs w:val="24"/>
      <w:u w:val="none"/>
    </w:rPr>
  </w:style>
  <w:style w:type="character" w:customStyle="1" w:styleId="9">
    <w:name w:val="font21"/>
    <w:basedOn w:val="6"/>
    <w:qFormat/>
    <w:uiPriority w:val="0"/>
    <w:rPr>
      <w:rFonts w:hint="default" w:ascii="仿宋_GB2312" w:eastAsia="仿宋_GB2312" w:cs="仿宋_GB2312"/>
      <w:b/>
      <w:color w:val="000000"/>
      <w:sz w:val="24"/>
      <w:szCs w:val="24"/>
      <w:u w:val="none"/>
    </w:rPr>
  </w:style>
  <w:style w:type="character" w:customStyle="1" w:styleId="10">
    <w:name w:val="font51"/>
    <w:basedOn w:val="6"/>
    <w:qFormat/>
    <w:uiPriority w:val="0"/>
    <w:rPr>
      <w:rFonts w:hint="default" w:ascii="仿宋_GB2312" w:eastAsia="仿宋_GB2312" w:cs="仿宋_GB2312"/>
      <w:color w:val="000000"/>
      <w:sz w:val="20"/>
      <w:szCs w:val="20"/>
      <w:u w:val="none"/>
    </w:rPr>
  </w:style>
  <w:style w:type="character" w:customStyle="1" w:styleId="11">
    <w:name w:val="font3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4445</Words>
  <Characters>5599</Characters>
  <Lines>0</Lines>
  <Paragraphs>0</Paragraphs>
  <TotalTime>0</TotalTime>
  <ScaleCrop>false</ScaleCrop>
  <LinksUpToDate>false</LinksUpToDate>
  <CharactersWithSpaces>5705</CharactersWithSpaces>
  <Application>WPS Office_11.1.0.12974_F1E327BC-269C-435d-A152-05C5408002CA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2022-05-19T07:33:00Z</dcterms:created>
  <dc:creator>heySylvie</dc:creator>
  <cp:lastModifiedBy>Lenovo</cp:lastModifiedBy>
  <cp:lastPrinted>2022-06-07T00:50:00Z</cp:lastPrinted>
  <dcterms:modified xsi:type="dcterms:W3CDTF">2022-11-24T07:52:48Z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2052-11.1.0.12974</vt:lpwstr>
  </property>
  <property fmtid="{D5CDD505-2E9C-101B-9397-08002B2CF9AE}" pid="3" name="ICV">
    <vt:lpwstr>134852C2091F4B538C0BC59F70416671</vt:lpwstr>
  </property>
</Properties>
</file>