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auto"/>
        <w:jc w:val="left"/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3</w:t>
      </w:r>
    </w:p>
    <w:p>
      <w:pPr>
        <w:spacing w:line="720" w:lineRule="auto"/>
        <w:jc w:val="center"/>
        <w:rPr>
          <w:rFonts w:ascii="华文中宋" w:hAnsi="华文中宋" w:eastAsia="华文中宋"/>
          <w:b/>
          <w:sz w:val="40"/>
          <w:szCs w:val="40"/>
        </w:rPr>
      </w:pPr>
      <w:r>
        <w:rPr>
          <w:rFonts w:hint="eastAsia" w:ascii="华文中宋" w:hAnsi="华文中宋" w:eastAsia="华文中宋"/>
          <w:b/>
          <w:sz w:val="40"/>
          <w:szCs w:val="40"/>
          <w:lang w:eastAsia="zh-CN"/>
        </w:rPr>
        <w:t>福建省</w:t>
      </w:r>
      <w:r>
        <w:rPr>
          <w:rFonts w:hint="eastAsia" w:ascii="华文中宋" w:hAnsi="华文中宋" w:eastAsia="华文中宋"/>
          <w:b/>
          <w:sz w:val="40"/>
          <w:szCs w:val="40"/>
        </w:rPr>
        <w:t>硕士</w:t>
      </w:r>
      <w:bookmarkStart w:id="0" w:name="_GoBack"/>
      <w:bookmarkEnd w:id="0"/>
      <w:r>
        <w:rPr>
          <w:rFonts w:hint="eastAsia" w:ascii="华文中宋" w:hAnsi="华文中宋" w:eastAsia="华文中宋"/>
          <w:b/>
          <w:sz w:val="40"/>
          <w:szCs w:val="40"/>
        </w:rPr>
        <w:t>授权点合格</w:t>
      </w:r>
      <w:r>
        <w:rPr>
          <w:rFonts w:hint="eastAsia" w:ascii="华文中宋" w:hAnsi="华文中宋" w:eastAsia="华文中宋"/>
          <w:b/>
          <w:sz w:val="40"/>
          <w:szCs w:val="40"/>
          <w:lang w:eastAsia="zh-CN"/>
        </w:rPr>
        <w:t>评估</w:t>
      </w:r>
      <w:r>
        <w:rPr>
          <w:rFonts w:hint="eastAsia" w:ascii="华文中宋" w:hAnsi="华文中宋" w:eastAsia="华文中宋"/>
          <w:b/>
          <w:sz w:val="40"/>
          <w:szCs w:val="40"/>
        </w:rPr>
        <w:t>标准</w:t>
      </w:r>
    </w:p>
    <w:tbl>
      <w:tblPr>
        <w:tblStyle w:val="11"/>
        <w:tblW w:w="868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8"/>
        <w:gridCol w:w="1476"/>
        <w:gridCol w:w="59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98" w:type="dxa"/>
            <w:vAlign w:val="center"/>
          </w:tcPr>
          <w:p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一级要素</w:t>
            </w:r>
          </w:p>
        </w:tc>
        <w:tc>
          <w:tcPr>
            <w:tcW w:w="1476" w:type="dxa"/>
            <w:vAlign w:val="center"/>
          </w:tcPr>
          <w:p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二级要素</w:t>
            </w:r>
          </w:p>
        </w:tc>
        <w:tc>
          <w:tcPr>
            <w:tcW w:w="5911" w:type="dxa"/>
            <w:vAlign w:val="center"/>
          </w:tcPr>
          <w:p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抽评</w:t>
            </w: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内容和标准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98" w:type="dxa"/>
            <w:vMerge w:val="restart"/>
            <w:vAlign w:val="center"/>
          </w:tcPr>
          <w:p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</w:t>
            </w:r>
          </w:p>
          <w:p>
            <w:pPr>
              <w:snapToGrid w:val="0"/>
              <w:spacing w:after="0" w:line="276" w:lineRule="auto"/>
              <w:jc w:val="both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目标与标准</w:t>
            </w:r>
          </w:p>
        </w:tc>
        <w:tc>
          <w:tcPr>
            <w:tcW w:w="1476" w:type="dxa"/>
            <w:vAlign w:val="center"/>
          </w:tcPr>
          <w:p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1.1培养目标</w:t>
            </w:r>
          </w:p>
        </w:tc>
        <w:tc>
          <w:tcPr>
            <w:tcW w:w="5911" w:type="dxa"/>
            <w:vAlign w:val="center"/>
          </w:tcPr>
          <w:p>
            <w:pPr>
              <w:snapToGrid/>
              <w:spacing w:after="80" w:line="24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培养目标定位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合理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明确、与时俱进，围绕国家和区域经济发展需求，</w:t>
            </w:r>
            <w:r>
              <w:rPr>
                <w:rFonts w:hint="default" w:ascii="Times New Roman" w:hAnsi="Times New Roman" w:eastAsia="宋体" w:cs="Times New Roman"/>
                <w:szCs w:val="21"/>
                <w:lang w:eastAsia="zh-CN"/>
              </w:rPr>
              <w:t>结合学校实际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制定研究生培养方案，建立培养方案持续改进机制。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298" w:type="dxa"/>
            <w:vMerge w:val="continue"/>
            <w:vAlign w:val="center"/>
          </w:tcPr>
          <w:p>
            <w:pPr>
              <w:widowControl/>
              <w:spacing w:after="0" w:line="276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76" w:type="dxa"/>
            <w:vAlign w:val="center"/>
          </w:tcPr>
          <w:p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1.2学位标准</w:t>
            </w:r>
          </w:p>
        </w:tc>
        <w:tc>
          <w:tcPr>
            <w:tcW w:w="5911" w:type="dxa"/>
            <w:vAlign w:val="center"/>
          </w:tcPr>
          <w:p>
            <w:pPr>
              <w:snapToGrid/>
              <w:spacing w:after="80" w:line="24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szCs w:val="22"/>
              </w:rPr>
            </w:pPr>
            <w:r>
              <w:rPr>
                <w:rFonts w:hint="default" w:ascii="Times New Roman" w:hAnsi="Times New Roman" w:eastAsia="宋体" w:cs="Times New Roman"/>
              </w:rPr>
              <w:t>制定与本学位点培养目标相一致的学位授予标准，学位授予标准规范、具体，不低于国家“硕士学位基本要求”</w:t>
            </w:r>
            <w:r>
              <w:rPr>
                <w:rFonts w:hint="default" w:ascii="Times New Roman" w:hAnsi="Times New Roman" w:eastAsia="宋体" w:cs="Times New Roman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1298" w:type="dxa"/>
            <w:vMerge w:val="restart"/>
            <w:vAlign w:val="center"/>
          </w:tcPr>
          <w:p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</w:t>
            </w:r>
          </w:p>
          <w:p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基本条件</w:t>
            </w:r>
          </w:p>
        </w:tc>
        <w:tc>
          <w:tcPr>
            <w:tcW w:w="1476" w:type="dxa"/>
            <w:vAlign w:val="center"/>
          </w:tcPr>
          <w:p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2.1</w:t>
            </w:r>
            <w:r>
              <w:rPr>
                <w:rFonts w:hint="default" w:ascii="Times New Roman" w:hAnsi="Times New Roman" w:cs="Times New Roman"/>
                <w:szCs w:val="21"/>
              </w:rPr>
              <w:t>培养方向</w:t>
            </w:r>
          </w:p>
        </w:tc>
        <w:tc>
          <w:tcPr>
            <w:tcW w:w="5911" w:type="dxa"/>
            <w:vAlign w:val="center"/>
          </w:tcPr>
          <w:p>
            <w:pPr>
              <w:snapToGrid w:val="0"/>
              <w:spacing w:after="0" w:line="276" w:lineRule="auto"/>
              <w:ind w:firstLine="0" w:firstLineChars="0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各</w:t>
            </w:r>
            <w:r>
              <w:rPr>
                <w:rFonts w:hint="default" w:ascii="Times New Roman" w:hAnsi="Times New Roman" w:cs="Times New Roman"/>
                <w:szCs w:val="21"/>
              </w:rPr>
              <w:t>培养方向科学、合理、稳定，主干方向优势突出、特色鲜明，原则上符合国家学位授权审核申请基本条件。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  <w:jc w:val="center"/>
        </w:trPr>
        <w:tc>
          <w:tcPr>
            <w:tcW w:w="1298" w:type="dxa"/>
            <w:vMerge w:val="continue"/>
            <w:vAlign w:val="center"/>
          </w:tcPr>
          <w:p>
            <w:pPr>
              <w:widowControl/>
              <w:spacing w:after="0" w:line="276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76" w:type="dxa"/>
            <w:vAlign w:val="center"/>
          </w:tcPr>
          <w:p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2.2</w:t>
            </w:r>
            <w:r>
              <w:rPr>
                <w:rFonts w:hint="default" w:ascii="Times New Roman" w:hAnsi="Times New Roman" w:cs="Times New Roman"/>
                <w:szCs w:val="21"/>
              </w:rPr>
              <w:t>师资队伍</w:t>
            </w:r>
          </w:p>
        </w:tc>
        <w:tc>
          <w:tcPr>
            <w:tcW w:w="5911" w:type="dxa"/>
            <w:vAlign w:val="center"/>
          </w:tcPr>
          <w:p>
            <w:pPr>
              <w:snapToGrid w:val="0"/>
              <w:spacing w:after="0" w:line="276" w:lineRule="auto"/>
              <w:ind w:firstLine="0" w:firstLineChars="0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trike w:val="0"/>
                <w:color w:val="auto"/>
                <w:szCs w:val="21"/>
                <w:lang w:eastAsia="zh-CN"/>
              </w:rPr>
              <w:t>各培养</w:t>
            </w:r>
            <w:r>
              <w:rPr>
                <w:rFonts w:hint="default" w:ascii="Times New Roman" w:hAnsi="Times New Roman" w:cs="Times New Roman"/>
                <w:szCs w:val="21"/>
              </w:rPr>
              <w:t>方向带头人和学术骨干具有较高的师德水平和学术水平，</w:t>
            </w:r>
            <w:r>
              <w:rPr>
                <w:rFonts w:hint="default" w:ascii="Times New Roman" w:hAnsi="Times New Roman" w:cs="Times New Roman"/>
                <w:szCs w:val="21"/>
                <w:lang w:eastAsia="zh-CN"/>
              </w:rPr>
              <w:t>并</w:t>
            </w:r>
            <w:r>
              <w:rPr>
                <w:rFonts w:hint="default" w:ascii="Times New Roman" w:hAnsi="Times New Roman" w:cs="Times New Roman"/>
                <w:szCs w:val="21"/>
              </w:rPr>
              <w:t>具有一定学术影响力；具有一定规模的专任教师队伍，</w:t>
            </w:r>
            <w:r>
              <w:rPr>
                <w:rFonts w:hint="default" w:ascii="Times New Roman" w:hAnsi="Times New Roman" w:cs="Times New Roman"/>
                <w:szCs w:val="21"/>
                <w:lang w:eastAsia="zh-CN"/>
              </w:rPr>
              <w:t>年龄、</w:t>
            </w:r>
            <w:r>
              <w:rPr>
                <w:rFonts w:hint="default" w:ascii="Times New Roman" w:hAnsi="Times New Roman" w:cs="Times New Roman"/>
                <w:szCs w:val="21"/>
              </w:rPr>
              <w:t>学历、</w:t>
            </w:r>
            <w:r>
              <w:rPr>
                <w:rFonts w:hint="default" w:ascii="Times New Roman" w:hAnsi="Times New Roman" w:cs="Times New Roman"/>
                <w:szCs w:val="21"/>
                <w:lang w:eastAsia="zh-CN"/>
              </w:rPr>
              <w:t>学缘、</w:t>
            </w:r>
            <w:r>
              <w:rPr>
                <w:rFonts w:hint="default" w:ascii="Times New Roman" w:hAnsi="Times New Roman" w:cs="Times New Roman"/>
                <w:szCs w:val="21"/>
              </w:rPr>
              <w:t>职称结构合理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szCs w:val="21"/>
              </w:rPr>
              <w:t>原则上符合国家学位授权审核申请基本条件。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  <w:jc w:val="center"/>
        </w:trPr>
        <w:tc>
          <w:tcPr>
            <w:tcW w:w="1298" w:type="dxa"/>
            <w:vMerge w:val="continue"/>
            <w:vAlign w:val="center"/>
          </w:tcPr>
          <w:p>
            <w:pPr>
              <w:widowControl/>
              <w:spacing w:after="0" w:line="276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76" w:type="dxa"/>
            <w:vAlign w:val="center"/>
          </w:tcPr>
          <w:p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2.3</w:t>
            </w:r>
            <w:r>
              <w:rPr>
                <w:rFonts w:hint="default" w:ascii="Times New Roman" w:hAnsi="Times New Roman" w:cs="Times New Roman"/>
                <w:szCs w:val="21"/>
              </w:rPr>
              <w:t>科学研究</w:t>
            </w:r>
          </w:p>
        </w:tc>
        <w:tc>
          <w:tcPr>
            <w:tcW w:w="5911" w:type="dxa"/>
            <w:vAlign w:val="center"/>
          </w:tcPr>
          <w:p>
            <w:pPr>
              <w:snapToGrid w:val="0"/>
              <w:spacing w:after="0" w:line="276" w:lineRule="auto"/>
              <w:ind w:firstLine="0" w:firstLineChars="0"/>
              <w:jc w:val="both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本学位点承担的各级各类科研项目</w:t>
            </w:r>
            <w:r>
              <w:rPr>
                <w:rFonts w:hint="default" w:ascii="Times New Roman" w:hAnsi="Times New Roman" w:cs="Times New Roman"/>
                <w:szCs w:val="21"/>
                <w:lang w:eastAsia="zh-CN"/>
              </w:rPr>
              <w:t>，发表</w:t>
            </w:r>
            <w:r>
              <w:rPr>
                <w:rFonts w:hint="default" w:ascii="Times New Roman" w:hAnsi="Times New Roman" w:cs="Times New Roman"/>
                <w:szCs w:val="21"/>
              </w:rPr>
              <w:t>学术论文、</w:t>
            </w:r>
            <w:r>
              <w:rPr>
                <w:rFonts w:hint="default" w:ascii="Times New Roman" w:hAnsi="Times New Roman" w:cs="Times New Roman"/>
                <w:szCs w:val="21"/>
                <w:lang w:eastAsia="zh-CN"/>
              </w:rPr>
              <w:t>出版</w:t>
            </w:r>
            <w:r>
              <w:rPr>
                <w:rFonts w:hint="default" w:ascii="Times New Roman" w:hAnsi="Times New Roman" w:cs="Times New Roman"/>
                <w:szCs w:val="21"/>
              </w:rPr>
              <w:t>著作、科研获奖、专利及成果转化与应用等，原则上符合国家学位授权审核申请基本条件。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1" w:hRule="atLeast"/>
          <w:jc w:val="center"/>
        </w:trPr>
        <w:tc>
          <w:tcPr>
            <w:tcW w:w="1298" w:type="dxa"/>
            <w:vMerge w:val="continue"/>
            <w:vAlign w:val="center"/>
          </w:tcPr>
          <w:p>
            <w:pPr>
              <w:widowControl/>
              <w:spacing w:after="0" w:line="276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76" w:type="dxa"/>
            <w:vAlign w:val="center"/>
          </w:tcPr>
          <w:p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2.4</w:t>
            </w:r>
            <w:r>
              <w:rPr>
                <w:rFonts w:hint="default" w:ascii="Times New Roman" w:hAnsi="Times New Roman" w:cs="Times New Roman"/>
                <w:szCs w:val="21"/>
              </w:rPr>
              <w:t>教学科研支撑</w:t>
            </w:r>
          </w:p>
        </w:tc>
        <w:tc>
          <w:tcPr>
            <w:tcW w:w="5911" w:type="dxa"/>
            <w:vAlign w:val="center"/>
          </w:tcPr>
          <w:p>
            <w:pPr>
              <w:snapToGrid w:val="0"/>
              <w:spacing w:after="0" w:line="276" w:lineRule="auto"/>
              <w:ind w:firstLine="0" w:firstLineChars="0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具有</w:t>
            </w:r>
            <w:r>
              <w:rPr>
                <w:rFonts w:hint="default" w:ascii="Times New Roman" w:hAnsi="Times New Roman" w:cs="Times New Roman"/>
                <w:szCs w:val="21"/>
                <w:lang w:eastAsia="zh-CN"/>
              </w:rPr>
              <w:t>满足</w:t>
            </w:r>
            <w:r>
              <w:rPr>
                <w:rFonts w:hint="default" w:ascii="Times New Roman" w:hAnsi="Times New Roman" w:cs="Times New Roman"/>
                <w:szCs w:val="21"/>
              </w:rPr>
              <w:t>研究生学习需要的科研平台和教学资源，</w:t>
            </w:r>
            <w:r>
              <w:rPr>
                <w:rFonts w:hint="default" w:ascii="Times New Roman" w:hAnsi="Times New Roman" w:cs="Times New Roman"/>
                <w:szCs w:val="21"/>
                <w:lang w:eastAsia="zh-CN"/>
              </w:rPr>
              <w:t>包括</w:t>
            </w:r>
            <w:r>
              <w:rPr>
                <w:rFonts w:hint="default" w:ascii="Times New Roman" w:hAnsi="Times New Roman" w:cs="Times New Roman"/>
                <w:szCs w:val="21"/>
              </w:rPr>
              <w:t>各类科研平台、</w:t>
            </w:r>
            <w:r>
              <w:rPr>
                <w:rFonts w:hint="default" w:ascii="Times New Roman" w:hAnsi="Times New Roman" w:cs="Times New Roman"/>
                <w:szCs w:val="21"/>
                <w:lang w:eastAsia="zh-CN"/>
              </w:rPr>
              <w:t>仪器设备、</w:t>
            </w:r>
            <w:r>
              <w:rPr>
                <w:rFonts w:hint="default" w:ascii="Times New Roman" w:hAnsi="Times New Roman" w:cs="Times New Roman"/>
                <w:szCs w:val="21"/>
              </w:rPr>
              <w:t>研究生教育创新基地、校内外研究生实践基地（联合培养基地）、校内教学设施（教室、实验室）、图书资料等，原则上符合国家学位授权审核申请基本条件。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1298" w:type="dxa"/>
            <w:vMerge w:val="continue"/>
            <w:vAlign w:val="center"/>
          </w:tcPr>
          <w:p>
            <w:pPr>
              <w:widowControl/>
              <w:spacing w:after="0" w:line="276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76" w:type="dxa"/>
            <w:vAlign w:val="center"/>
          </w:tcPr>
          <w:p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  <w:lang w:val="zh-CN"/>
              </w:rPr>
              <w:t>2.5奖助体系</w:t>
            </w:r>
          </w:p>
        </w:tc>
        <w:tc>
          <w:tcPr>
            <w:tcW w:w="5911" w:type="dxa"/>
            <w:vAlign w:val="center"/>
          </w:tcPr>
          <w:p>
            <w:pPr>
              <w:snapToGrid w:val="0"/>
              <w:spacing w:after="0" w:line="276" w:lineRule="auto"/>
              <w:ind w:firstLine="0" w:firstLineChars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研究生奖助体系</w:t>
            </w:r>
            <w:r>
              <w:rPr>
                <w:rFonts w:hint="default" w:ascii="宋体" w:hAnsi="宋体"/>
                <w:szCs w:val="21"/>
              </w:rPr>
              <w:t>健全，形式多样，制度规范；奖助覆盖面较广，能够满足研究生学习、生活、研究和实践需要。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  <w:jc w:val="center"/>
        </w:trPr>
        <w:tc>
          <w:tcPr>
            <w:tcW w:w="1298" w:type="dxa"/>
            <w:vMerge w:val="restart"/>
            <w:vAlign w:val="center"/>
          </w:tcPr>
          <w:p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3</w:t>
            </w:r>
          </w:p>
          <w:p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人才培养</w:t>
            </w:r>
          </w:p>
        </w:tc>
        <w:tc>
          <w:tcPr>
            <w:tcW w:w="1476" w:type="dxa"/>
            <w:vAlign w:val="center"/>
          </w:tcPr>
          <w:p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  <w:lang w:val="zh-CN"/>
              </w:rPr>
              <w:t>3.1招生选拔</w:t>
            </w:r>
          </w:p>
        </w:tc>
        <w:tc>
          <w:tcPr>
            <w:tcW w:w="5911" w:type="dxa"/>
            <w:vAlign w:val="center"/>
          </w:tcPr>
          <w:p>
            <w:pPr>
              <w:snapToGrid w:val="0"/>
              <w:spacing w:after="0" w:line="276" w:lineRule="auto"/>
              <w:ind w:firstLine="0" w:firstLineChars="0"/>
              <w:rPr>
                <w:rFonts w:ascii="Times New Roman" w:hAnsi="Times New Roman" w:cs="Times New Roman"/>
                <w:szCs w:val="21"/>
                <w:lang w:val="zh-CN"/>
              </w:rPr>
            </w:pPr>
            <w:r>
              <w:rPr>
                <w:rFonts w:hint="default" w:ascii="宋体" w:hAnsi="宋体"/>
                <w:szCs w:val="21"/>
                <w:lang w:val="zh-CN"/>
              </w:rPr>
              <w:t>严格执行研究生招生政策，招生选拔工作制度健全，程序规范，信息公开；有一定比例的一志愿录取生源或推免生；采取有效措施优化生源结构、提高生源质量</w:t>
            </w:r>
            <w:r>
              <w:rPr>
                <w:rFonts w:hint="eastAsia" w:ascii="宋体" w:hAnsi="宋体"/>
                <w:szCs w:val="21"/>
                <w:lang w:val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atLeast"/>
          <w:jc w:val="center"/>
        </w:trPr>
        <w:tc>
          <w:tcPr>
            <w:tcW w:w="1298" w:type="dxa"/>
            <w:vMerge w:val="continue"/>
            <w:vAlign w:val="center"/>
          </w:tcPr>
          <w:p>
            <w:pPr>
              <w:widowControl/>
              <w:spacing w:after="0" w:line="276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76" w:type="dxa"/>
            <w:vAlign w:val="center"/>
          </w:tcPr>
          <w:p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szCs w:val="21"/>
                <w:lang w:val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zh-CN"/>
              </w:rPr>
              <w:t>3.2课程教学</w:t>
            </w:r>
          </w:p>
        </w:tc>
        <w:tc>
          <w:tcPr>
            <w:tcW w:w="5911" w:type="dxa"/>
            <w:vAlign w:val="center"/>
          </w:tcPr>
          <w:p>
            <w:pPr>
              <w:snapToGrid w:val="0"/>
              <w:spacing w:after="0" w:line="276" w:lineRule="auto"/>
              <w:ind w:firstLine="0" w:firstLineChars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宋体" w:hAnsi="宋体"/>
                <w:szCs w:val="21"/>
              </w:rPr>
              <w:t>具备完善的教学管理制度；课程体系完善，核心课程设置合理，创新教学方法（加强专业学位点案例库建设），体现学科专业特色；健全教学质量监控与改进机制，有基本的课程评价标准、考核方式、可溯性过程管理资料，改进措施切实有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  <w:jc w:val="center"/>
        </w:trPr>
        <w:tc>
          <w:tcPr>
            <w:tcW w:w="1298" w:type="dxa"/>
            <w:vMerge w:val="continue"/>
            <w:vAlign w:val="center"/>
          </w:tcPr>
          <w:p>
            <w:pPr>
              <w:widowControl/>
              <w:spacing w:after="0" w:line="276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76" w:type="dxa"/>
            <w:vAlign w:val="center"/>
          </w:tcPr>
          <w:p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szCs w:val="21"/>
                <w:lang w:val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zh-CN"/>
              </w:rPr>
              <w:t>3.3导师指导</w:t>
            </w:r>
          </w:p>
        </w:tc>
        <w:tc>
          <w:tcPr>
            <w:tcW w:w="5911" w:type="dxa"/>
            <w:vAlign w:val="center"/>
          </w:tcPr>
          <w:p>
            <w:pPr>
              <w:snapToGrid w:val="0"/>
              <w:spacing w:after="0" w:line="276" w:lineRule="auto"/>
              <w:ind w:firstLine="0" w:firstLineChars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宋体" w:hAnsi="宋体"/>
                <w:szCs w:val="21"/>
              </w:rPr>
              <w:t>全面落实导师立德树人职责，研究生导师选聘及管理制度规范具体，执行情况良好；实行导师分类管理机制，实施选聘、考核、培训</w:t>
            </w:r>
            <w:r>
              <w:rPr>
                <w:rFonts w:hint="eastAsia" w:ascii="宋体" w:hAnsi="宋体"/>
                <w:szCs w:val="21"/>
                <w:lang w:eastAsia="zh-CN"/>
              </w:rPr>
              <w:t>、奖罚、退出</w:t>
            </w:r>
            <w:r>
              <w:rPr>
                <w:rFonts w:hint="default" w:ascii="宋体" w:hAnsi="宋体"/>
                <w:szCs w:val="21"/>
              </w:rPr>
              <w:t>等制度。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6" w:hRule="atLeast"/>
          <w:jc w:val="center"/>
        </w:trPr>
        <w:tc>
          <w:tcPr>
            <w:tcW w:w="1298" w:type="dxa"/>
            <w:vMerge w:val="continue"/>
            <w:vAlign w:val="center"/>
          </w:tcPr>
          <w:p>
            <w:pPr>
              <w:widowControl/>
              <w:spacing w:after="0" w:line="276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76" w:type="dxa"/>
            <w:vAlign w:val="center"/>
          </w:tcPr>
          <w:p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szCs w:val="21"/>
                <w:lang w:val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zh-CN"/>
              </w:rPr>
              <w:t>3.4学术训练</w:t>
            </w:r>
          </w:p>
          <w:p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szCs w:val="21"/>
                <w:lang w:val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zh-CN"/>
              </w:rPr>
              <w:t>（或实践教学）</w:t>
            </w:r>
          </w:p>
        </w:tc>
        <w:tc>
          <w:tcPr>
            <w:tcW w:w="5911" w:type="dxa"/>
            <w:vAlign w:val="center"/>
          </w:tcPr>
          <w:p>
            <w:pPr>
              <w:snapToGrid w:val="0"/>
              <w:spacing w:after="0" w:line="276" w:lineRule="auto"/>
              <w:ind w:firstLine="0" w:firstLineChars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学术型研究生参与学术训练的情况，及其制度</w:t>
            </w:r>
            <w:r>
              <w:rPr>
                <w:rFonts w:hint="default" w:ascii="Times New Roman" w:hAnsi="Times New Roman" w:cs="Times New Roman"/>
                <w:szCs w:val="21"/>
                <w:lang w:eastAsia="zh-CN"/>
              </w:rPr>
              <w:t>、措施</w:t>
            </w:r>
            <w:r>
              <w:rPr>
                <w:rFonts w:hint="default" w:ascii="Times New Roman" w:hAnsi="Times New Roman" w:cs="Times New Roman"/>
                <w:szCs w:val="21"/>
              </w:rPr>
              <w:t>、经费</w:t>
            </w:r>
            <w:r>
              <w:rPr>
                <w:rFonts w:hint="default" w:ascii="Times New Roman" w:hAnsi="Times New Roman" w:cs="Times New Roman"/>
                <w:szCs w:val="21"/>
                <w:lang w:eastAsia="zh-CN"/>
              </w:rPr>
              <w:t>保障</w:t>
            </w:r>
            <w:r>
              <w:rPr>
                <w:rFonts w:hint="default" w:ascii="Times New Roman" w:hAnsi="Times New Roman" w:cs="Times New Roman"/>
                <w:szCs w:val="21"/>
              </w:rPr>
              <w:t>；专业学位研究生参与专业实践情况，校内外实践基地建设情况，相关专业实践管理制度、经费保障；研究生科研创新、实践能力培养工作取得的成效</w:t>
            </w:r>
            <w:r>
              <w:rPr>
                <w:rFonts w:hint="default" w:ascii="宋体" w:hAnsi="宋体"/>
                <w:szCs w:val="21"/>
              </w:rPr>
              <w:t>。</w:t>
            </w:r>
            <w:r>
              <w:rPr>
                <w:rFonts w:hint="default" w:ascii="Times New Roman" w:hAnsi="Times New Roman" w:cs="Times New Roman"/>
                <w:szCs w:val="21"/>
              </w:rPr>
              <w:t>原则上符合国家学位授权审核申请基本条件</w:t>
            </w:r>
            <w:r>
              <w:rPr>
                <w:rFonts w:hint="default" w:ascii="Times New Roman" w:hAnsi="Times New Roman" w:cs="Times New Roman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 w:hRule="atLeast"/>
          <w:jc w:val="center"/>
        </w:trPr>
        <w:tc>
          <w:tcPr>
            <w:tcW w:w="1298" w:type="dxa"/>
            <w:vMerge w:val="continue"/>
            <w:vAlign w:val="center"/>
          </w:tcPr>
          <w:p>
            <w:pPr>
              <w:widowControl/>
              <w:spacing w:after="0" w:line="276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76" w:type="dxa"/>
            <w:vAlign w:val="center"/>
          </w:tcPr>
          <w:p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szCs w:val="21"/>
                <w:lang w:val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zh-CN"/>
              </w:rPr>
              <w:t>3.5学术交流</w:t>
            </w:r>
          </w:p>
        </w:tc>
        <w:tc>
          <w:tcPr>
            <w:tcW w:w="5911" w:type="dxa"/>
            <w:vAlign w:val="center"/>
          </w:tcPr>
          <w:p>
            <w:pPr>
              <w:snapToGrid w:val="0"/>
              <w:spacing w:after="0" w:line="276" w:lineRule="auto"/>
              <w:ind w:firstLine="0" w:firstLineChars="0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  <w:lang w:eastAsia="zh-CN"/>
              </w:rPr>
              <w:t>本学位点举办（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含</w:t>
            </w:r>
            <w:r>
              <w:rPr>
                <w:rFonts w:hint="default" w:ascii="Times New Roman" w:hAnsi="Times New Roman" w:cs="Times New Roman"/>
                <w:szCs w:val="21"/>
                <w:lang w:eastAsia="zh-CN"/>
              </w:rPr>
              <w:t>承办）学术会议、讲座、论坛、专题报告、专业研讨等学术活动情况，以及研究生参与情况；支持研究生参与学术交流、联合培养、访学等制度措施、经费保障；</w:t>
            </w:r>
            <w:r>
              <w:rPr>
                <w:rFonts w:hint="default" w:ascii="Times New Roman" w:hAnsi="Times New Roman" w:cs="Times New Roman"/>
                <w:szCs w:val="21"/>
              </w:rPr>
              <w:t>原则上符合国家学位授权审核申请基本条件</w:t>
            </w:r>
            <w:r>
              <w:rPr>
                <w:rFonts w:hint="default" w:ascii="Times New Roman" w:hAnsi="Times New Roman" w:cs="Times New Roman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1298" w:type="dxa"/>
            <w:vMerge w:val="continue"/>
            <w:vAlign w:val="center"/>
          </w:tcPr>
          <w:p>
            <w:pPr>
              <w:widowControl/>
              <w:spacing w:after="0" w:line="276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76" w:type="dxa"/>
            <w:vAlign w:val="center"/>
          </w:tcPr>
          <w:p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szCs w:val="21"/>
                <w:lang w:val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zh-CN"/>
              </w:rPr>
              <w:t>3.6分流淘汰</w:t>
            </w:r>
          </w:p>
        </w:tc>
        <w:tc>
          <w:tcPr>
            <w:tcW w:w="5911" w:type="dxa"/>
            <w:vAlign w:val="center"/>
          </w:tcPr>
          <w:p>
            <w:pPr>
              <w:snapToGrid w:val="0"/>
              <w:spacing w:after="0" w:line="276" w:lineRule="auto"/>
              <w:ind w:firstLine="0" w:firstLineChars="0"/>
              <w:rPr>
                <w:rFonts w:ascii="Times New Roman" w:hAnsi="Times New Roman" w:cs="Times New Roman"/>
                <w:szCs w:val="21"/>
                <w:lang w:val="zh-CN"/>
              </w:rPr>
            </w:pPr>
            <w:r>
              <w:rPr>
                <w:rFonts w:hint="default" w:ascii="宋体" w:hAnsi="宋体"/>
                <w:szCs w:val="21"/>
                <w:lang w:val="zh-CN"/>
              </w:rPr>
              <w:t>制定并执行研究生分流制度，工作细致，程序规范，有相应的分流淘汰数据分析、预警报告和保障措施。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  <w:jc w:val="center"/>
        </w:trPr>
        <w:tc>
          <w:tcPr>
            <w:tcW w:w="1298" w:type="dxa"/>
            <w:vMerge w:val="continue"/>
            <w:vAlign w:val="center"/>
          </w:tcPr>
          <w:p>
            <w:pPr>
              <w:widowControl/>
              <w:spacing w:after="0" w:line="276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76" w:type="dxa"/>
            <w:vAlign w:val="center"/>
          </w:tcPr>
          <w:p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szCs w:val="21"/>
                <w:lang w:val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3.7论文质量</w:t>
            </w:r>
          </w:p>
        </w:tc>
        <w:tc>
          <w:tcPr>
            <w:tcW w:w="5911" w:type="dxa"/>
            <w:vAlign w:val="center"/>
          </w:tcPr>
          <w:p>
            <w:pPr>
              <w:snapToGrid w:val="0"/>
              <w:spacing w:after="0" w:line="276" w:lineRule="auto"/>
              <w:ind w:firstLine="0" w:firstLineChars="0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  <w:lang w:eastAsia="zh-CN"/>
              </w:rPr>
              <w:t>学位论文</w:t>
            </w:r>
            <w:r>
              <w:rPr>
                <w:rFonts w:hint="default" w:ascii="Times New Roman" w:hAnsi="Times New Roman" w:cs="Times New Roman"/>
                <w:szCs w:val="21"/>
              </w:rPr>
              <w:t>开题、中期</w:t>
            </w:r>
            <w:r>
              <w:rPr>
                <w:rFonts w:hint="default" w:ascii="Times New Roman" w:hAnsi="Times New Roman" w:cs="Times New Roman"/>
                <w:szCs w:val="21"/>
                <w:lang w:eastAsia="zh-CN"/>
              </w:rPr>
              <w:t>检查</w:t>
            </w:r>
            <w:r>
              <w:rPr>
                <w:rFonts w:hint="default" w:ascii="Times New Roman" w:hAnsi="Times New Roman" w:cs="Times New Roman"/>
                <w:szCs w:val="21"/>
              </w:rPr>
              <w:t>、</w:t>
            </w:r>
            <w:r>
              <w:rPr>
                <w:rFonts w:hint="default" w:ascii="Times New Roman" w:hAnsi="Times New Roman" w:cs="Times New Roman"/>
                <w:szCs w:val="21"/>
                <w:lang w:eastAsia="zh-CN"/>
              </w:rPr>
              <w:t>送审、</w:t>
            </w:r>
            <w:r>
              <w:rPr>
                <w:rFonts w:hint="default" w:ascii="Times New Roman" w:hAnsi="Times New Roman" w:cs="Times New Roman"/>
                <w:szCs w:val="21"/>
              </w:rPr>
              <w:t>答辩、学位授予等</w:t>
            </w:r>
            <w:r>
              <w:rPr>
                <w:rFonts w:hint="default" w:ascii="Times New Roman" w:hAnsi="Times New Roman" w:cs="Times New Roman"/>
                <w:szCs w:val="21"/>
                <w:lang w:eastAsia="zh-CN"/>
              </w:rPr>
              <w:t>制度建设与执行情况</w:t>
            </w:r>
            <w:r>
              <w:rPr>
                <w:rFonts w:hint="default" w:ascii="Times New Roman" w:hAnsi="Times New Roman" w:cs="Times New Roman"/>
                <w:szCs w:val="21"/>
              </w:rPr>
              <w:t>；</w:t>
            </w:r>
            <w:r>
              <w:rPr>
                <w:rFonts w:hint="default" w:ascii="Times New Roman" w:hAnsi="Times New Roman" w:cs="Times New Roman"/>
                <w:szCs w:val="21"/>
                <w:lang w:eastAsia="zh-CN"/>
              </w:rPr>
              <w:t>学位论文抽检合格率；学位论文质量分析，以及提高论文质量的措施和效果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  <w:jc w:val="center"/>
        </w:trPr>
        <w:tc>
          <w:tcPr>
            <w:tcW w:w="1298" w:type="dxa"/>
            <w:vMerge w:val="continue"/>
            <w:vAlign w:val="center"/>
          </w:tcPr>
          <w:p>
            <w:pPr>
              <w:widowControl/>
              <w:spacing w:after="0" w:line="276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76" w:type="dxa"/>
            <w:vAlign w:val="center"/>
          </w:tcPr>
          <w:p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szCs w:val="21"/>
                <w:lang w:val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3.8学风教育</w:t>
            </w:r>
          </w:p>
        </w:tc>
        <w:tc>
          <w:tcPr>
            <w:tcW w:w="5911" w:type="dxa"/>
            <w:vAlign w:val="center"/>
          </w:tcPr>
          <w:p>
            <w:pPr>
              <w:snapToGrid w:val="0"/>
              <w:spacing w:after="0" w:line="276" w:lineRule="auto"/>
              <w:ind w:firstLine="0" w:firstLineChars="0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  <w:lang w:eastAsia="zh-CN"/>
              </w:rPr>
              <w:t>本学位点研究生学术道德和学术规范制度建设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及执行</w:t>
            </w:r>
            <w:r>
              <w:rPr>
                <w:rFonts w:hint="default" w:ascii="Times New Roman" w:hAnsi="Times New Roman" w:cs="Times New Roman"/>
                <w:szCs w:val="21"/>
                <w:lang w:eastAsia="zh-CN"/>
              </w:rPr>
              <w:t>情况；开展学术道德和学术规范专题教育活动情况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1298" w:type="dxa"/>
            <w:vMerge w:val="continue"/>
            <w:vAlign w:val="center"/>
          </w:tcPr>
          <w:p>
            <w:pPr>
              <w:widowControl/>
              <w:spacing w:after="0" w:line="276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76" w:type="dxa"/>
            <w:vAlign w:val="center"/>
          </w:tcPr>
          <w:p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  <w:lang w:val="zh-CN"/>
              </w:rPr>
              <w:t>3.9管理服务</w:t>
            </w:r>
          </w:p>
        </w:tc>
        <w:tc>
          <w:tcPr>
            <w:tcW w:w="5911" w:type="dxa"/>
            <w:vAlign w:val="center"/>
          </w:tcPr>
          <w:p>
            <w:pPr>
              <w:spacing w:after="0"/>
              <w:ind w:firstLine="0" w:firstLineChars="0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研究生权益保障</w:t>
            </w:r>
            <w:r>
              <w:rPr>
                <w:rFonts w:hint="default"/>
              </w:rPr>
              <w:t>管理机构和管理制度健全，落实研究生权益保障机制；开展在校研究生学习满意度调查，满意度较好。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  <w:jc w:val="center"/>
        </w:trPr>
        <w:tc>
          <w:tcPr>
            <w:tcW w:w="1298" w:type="dxa"/>
            <w:vMerge w:val="continue"/>
            <w:vAlign w:val="center"/>
          </w:tcPr>
          <w:p>
            <w:pPr>
              <w:widowControl/>
              <w:spacing w:after="0" w:line="276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76" w:type="dxa"/>
            <w:vAlign w:val="center"/>
          </w:tcPr>
          <w:p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3.10就业发展</w:t>
            </w:r>
          </w:p>
        </w:tc>
        <w:tc>
          <w:tcPr>
            <w:tcW w:w="5911" w:type="dxa"/>
            <w:vAlign w:val="center"/>
          </w:tcPr>
          <w:p>
            <w:pPr>
              <w:spacing w:after="0"/>
              <w:ind w:firstLine="0" w:firstLineChars="0"/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本学位点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5年内授予学位人数；毕业生就业率，就业情况分析；毕业生发展质量调查分析；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加强学生就业发展指导，开展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用人单位对毕业生的评价与满意度调查；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满意度较高。</w:t>
            </w:r>
          </w:p>
        </w:tc>
      </w:tr>
    </w:tbl>
    <w:p>
      <w:pPr>
        <w:ind w:left="641" w:leftChars="-95" w:right="-477" w:rightChars="-227" w:hanging="840" w:hangingChars="400"/>
        <w:jc w:val="left"/>
        <w:rPr>
          <w:rFonts w:hint="eastAsia" w:ascii="仿宋" w:hAnsi="仿宋" w:eastAsia="仿宋"/>
          <w:sz w:val="21"/>
          <w:szCs w:val="21"/>
        </w:rPr>
      </w:pPr>
      <w:r>
        <w:rPr>
          <w:rFonts w:hint="eastAsia" w:ascii="仿宋" w:hAnsi="仿宋" w:eastAsia="仿宋"/>
          <w:sz w:val="21"/>
          <w:szCs w:val="21"/>
        </w:rPr>
        <w:t>备注：1.以上考察的各项内容为近5年学位点的相关情况，一般截至2017年12月31日，各</w:t>
      </w:r>
      <w:r>
        <w:rPr>
          <w:rFonts w:hint="eastAsia" w:ascii="仿宋" w:hAnsi="仿宋" w:eastAsia="仿宋"/>
          <w:sz w:val="21"/>
          <w:szCs w:val="21"/>
          <w:lang w:eastAsia="zh-CN"/>
        </w:rPr>
        <w:t>学位点</w:t>
      </w:r>
      <w:r>
        <w:rPr>
          <w:rFonts w:hint="eastAsia" w:ascii="仿宋" w:hAnsi="仿宋" w:eastAsia="仿宋"/>
          <w:sz w:val="21"/>
          <w:szCs w:val="21"/>
        </w:rPr>
        <w:t>另有规定的除外；</w:t>
      </w:r>
    </w:p>
    <w:p>
      <w:pPr>
        <w:numPr>
          <w:ilvl w:val="0"/>
          <w:numId w:val="0"/>
        </w:numPr>
        <w:ind w:left="630" w:leftChars="200" w:right="-477" w:rightChars="-227" w:hanging="210" w:hangingChars="100"/>
        <w:jc w:val="left"/>
        <w:rPr>
          <w:rFonts w:ascii="仿宋" w:hAnsi="仿宋" w:eastAsia="仿宋"/>
          <w:sz w:val="21"/>
          <w:szCs w:val="21"/>
        </w:rPr>
      </w:pPr>
      <w:r>
        <w:rPr>
          <w:rFonts w:hint="eastAsia" w:ascii="仿宋" w:hAnsi="仿宋" w:eastAsia="仿宋"/>
          <w:sz w:val="21"/>
          <w:szCs w:val="21"/>
          <w:lang w:val="en-US" w:eastAsia="zh-CN"/>
        </w:rPr>
        <w:t>2.</w:t>
      </w:r>
      <w:r>
        <w:rPr>
          <w:rFonts w:hint="eastAsia" w:ascii="仿宋" w:hAnsi="仿宋" w:eastAsia="仿宋"/>
          <w:sz w:val="21"/>
          <w:szCs w:val="21"/>
        </w:rPr>
        <w:t>人才培养质量标准不得低于《一级学科硕士学位基本要求》、《专业学位类别（领域）硕士学位基本要求》，学位授权点基本条件原则上应达到2017年制定的一级学科（专业学位类别）硕士学位授权点申请基本条件。</w:t>
      </w:r>
    </w:p>
    <w:sectPr>
      <w:footerReference r:id="rId3" w:type="default"/>
      <w:pgSz w:w="11906" w:h="16838"/>
      <w:pgMar w:top="1440" w:right="1797" w:bottom="200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340400948"/>
    </w:sdtPr>
    <w:sdtContent>
      <w:p>
        <w:pPr>
          <w:pStyle w:val="7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39D3"/>
    <w:rsid w:val="000910CD"/>
    <w:rsid w:val="00094558"/>
    <w:rsid w:val="000C3D2D"/>
    <w:rsid w:val="0010309E"/>
    <w:rsid w:val="00134377"/>
    <w:rsid w:val="002176E0"/>
    <w:rsid w:val="00275588"/>
    <w:rsid w:val="002927E6"/>
    <w:rsid w:val="002D522E"/>
    <w:rsid w:val="00334B7C"/>
    <w:rsid w:val="0036291C"/>
    <w:rsid w:val="00394995"/>
    <w:rsid w:val="0040177D"/>
    <w:rsid w:val="00407D91"/>
    <w:rsid w:val="004B5200"/>
    <w:rsid w:val="004C3EAE"/>
    <w:rsid w:val="005209E9"/>
    <w:rsid w:val="005477B5"/>
    <w:rsid w:val="006613AE"/>
    <w:rsid w:val="006A242B"/>
    <w:rsid w:val="006E1DF7"/>
    <w:rsid w:val="0077745F"/>
    <w:rsid w:val="00783199"/>
    <w:rsid w:val="0079304A"/>
    <w:rsid w:val="007B5658"/>
    <w:rsid w:val="007D6042"/>
    <w:rsid w:val="007E123B"/>
    <w:rsid w:val="007E4A8C"/>
    <w:rsid w:val="007E71C2"/>
    <w:rsid w:val="007F2CB9"/>
    <w:rsid w:val="00911AC3"/>
    <w:rsid w:val="00983B05"/>
    <w:rsid w:val="009B06C2"/>
    <w:rsid w:val="009E3E85"/>
    <w:rsid w:val="00A11EA7"/>
    <w:rsid w:val="00A50355"/>
    <w:rsid w:val="00AC70C9"/>
    <w:rsid w:val="00B8297C"/>
    <w:rsid w:val="00BC6C2B"/>
    <w:rsid w:val="00BF28B8"/>
    <w:rsid w:val="00C22C17"/>
    <w:rsid w:val="00C86B59"/>
    <w:rsid w:val="00C966C8"/>
    <w:rsid w:val="00CD234C"/>
    <w:rsid w:val="00CE3C79"/>
    <w:rsid w:val="00CE3EA3"/>
    <w:rsid w:val="00CE4C97"/>
    <w:rsid w:val="00CF3237"/>
    <w:rsid w:val="00D702B8"/>
    <w:rsid w:val="00DA4694"/>
    <w:rsid w:val="00E46CAA"/>
    <w:rsid w:val="00E51BBC"/>
    <w:rsid w:val="00E62F89"/>
    <w:rsid w:val="00E75FA0"/>
    <w:rsid w:val="00EE529A"/>
    <w:rsid w:val="00F36436"/>
    <w:rsid w:val="00F41551"/>
    <w:rsid w:val="00FD35B9"/>
    <w:rsid w:val="05D3368E"/>
    <w:rsid w:val="09807F99"/>
    <w:rsid w:val="0C67406D"/>
    <w:rsid w:val="0DCB4EC8"/>
    <w:rsid w:val="18641A7C"/>
    <w:rsid w:val="1A630612"/>
    <w:rsid w:val="1AF17ECA"/>
    <w:rsid w:val="1E1706D9"/>
    <w:rsid w:val="1E876AFA"/>
    <w:rsid w:val="1EB15AFB"/>
    <w:rsid w:val="23CE19B0"/>
    <w:rsid w:val="25344531"/>
    <w:rsid w:val="2DDB4250"/>
    <w:rsid w:val="365177EF"/>
    <w:rsid w:val="3A24710D"/>
    <w:rsid w:val="3B2751A2"/>
    <w:rsid w:val="45FD3483"/>
    <w:rsid w:val="477B1C93"/>
    <w:rsid w:val="4F985B2C"/>
    <w:rsid w:val="5324756F"/>
    <w:rsid w:val="53DF4668"/>
    <w:rsid w:val="57D92647"/>
    <w:rsid w:val="58B0468F"/>
    <w:rsid w:val="6A4169EF"/>
    <w:rsid w:val="6B187AEB"/>
    <w:rsid w:val="712F6EB9"/>
    <w:rsid w:val="729F379B"/>
    <w:rsid w:val="7E7513F5"/>
    <w:rsid w:val="7E986401"/>
    <w:rsid w:val="7EB17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3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9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caption"/>
    <w:basedOn w:val="1"/>
    <w:next w:val="1"/>
    <w:unhideWhenUsed/>
    <w:qFormat/>
    <w:uiPriority w:val="0"/>
    <w:pPr>
      <w:spacing w:after="0"/>
    </w:pPr>
    <w:rPr>
      <w:rFonts w:ascii="Calibri" w:hAnsi="Calibri" w:eastAsia="宋体" w:cs="Times New Roman"/>
      <w:sz w:val="20"/>
      <w:szCs w:val="20"/>
    </w:rPr>
  </w:style>
  <w:style w:type="paragraph" w:styleId="5">
    <w:name w:val="Date"/>
    <w:basedOn w:val="1"/>
    <w:next w:val="1"/>
    <w:link w:val="16"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17"/>
    <w:unhideWhenUsed/>
    <w:qFormat/>
    <w:uiPriority w:val="99"/>
    <w:pPr>
      <w:spacing w:after="0"/>
    </w:pPr>
    <w:rPr>
      <w:sz w:val="18"/>
      <w:szCs w:val="18"/>
    </w:rPr>
  </w:style>
  <w:style w:type="paragraph" w:styleId="7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1">
    <w:name w:val="Table Grid"/>
    <w:basedOn w:val="1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2">
    <w:name w:val="标题 1 Char"/>
    <w:basedOn w:val="9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3">
    <w:name w:val="标题 2 Char"/>
    <w:basedOn w:val="9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4">
    <w:name w:val="页眉 Char"/>
    <w:basedOn w:val="9"/>
    <w:link w:val="8"/>
    <w:qFormat/>
    <w:uiPriority w:val="99"/>
    <w:rPr>
      <w:sz w:val="18"/>
      <w:szCs w:val="18"/>
    </w:rPr>
  </w:style>
  <w:style w:type="character" w:customStyle="1" w:styleId="15">
    <w:name w:val="页脚 Char"/>
    <w:basedOn w:val="9"/>
    <w:link w:val="7"/>
    <w:qFormat/>
    <w:uiPriority w:val="99"/>
    <w:rPr>
      <w:sz w:val="18"/>
      <w:szCs w:val="18"/>
    </w:rPr>
  </w:style>
  <w:style w:type="character" w:customStyle="1" w:styleId="16">
    <w:name w:val="日期 Char"/>
    <w:basedOn w:val="9"/>
    <w:link w:val="5"/>
    <w:semiHidden/>
    <w:qFormat/>
    <w:uiPriority w:val="99"/>
  </w:style>
  <w:style w:type="character" w:customStyle="1" w:styleId="17">
    <w:name w:val="批注框文本 Char"/>
    <w:basedOn w:val="9"/>
    <w:link w:val="6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A26B34F-DE27-405E-A11D-8F099B41F3E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503</Words>
  <Characters>2871</Characters>
  <Lines>23</Lines>
  <Paragraphs>6</Paragraphs>
  <TotalTime>15</TotalTime>
  <ScaleCrop>false</ScaleCrop>
  <LinksUpToDate>false</LinksUpToDate>
  <CharactersWithSpaces>3368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2019-04-11T06:23:00Z</dcterms:created>
  <dc:creator>admin</dc:creator>
  <cp:lastModifiedBy>Administrator</cp:lastModifiedBy>
  <dcterms:modified xsi:type="dcterms:W3CDTF">2019-04-15T09:31:17Z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