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附件1：</w:t>
      </w:r>
    </w:p>
    <w:p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第十二届福建省大学生职业规划大赛</w:t>
      </w:r>
    </w:p>
    <w:p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决赛评分标准</w:t>
      </w:r>
    </w:p>
    <w:p>
      <w:pPr>
        <w:rPr>
          <w:rFonts w:hint="eastAsia" w:ascii="黑体" w:eastAsia="黑体"/>
          <w:sz w:val="22"/>
          <w:szCs w:val="22"/>
        </w:rPr>
      </w:pPr>
    </w:p>
    <w:p>
      <w:pPr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32"/>
          <w:szCs w:val="32"/>
        </w:rPr>
        <w:t>决赛第一阶段：《个人职业生涯规划书》评审</w:t>
      </w:r>
      <w:r>
        <w:rPr>
          <w:rFonts w:hint="eastAsia" w:ascii="黑体" w:eastAsia="黑体"/>
          <w:sz w:val="28"/>
          <w:szCs w:val="32"/>
        </w:rPr>
        <w:t>（占总决赛成绩50%）</w:t>
      </w:r>
    </w:p>
    <w:tbl>
      <w:tblPr>
        <w:tblStyle w:val="4"/>
        <w:tblW w:w="9492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评分要点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自我探索（25%）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1．全面梳理个人成长经历，并从中分析个人特质，挖掘个人生命主题。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 深入分析家庭与环境资源对个人的影响，并与个人选择相联系。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 充分探索学校资源，结合个人实践经历，从中探索未来发展方向。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 能结合科学测评工具，进一步认识自我。测评解读正确到位，有充分的事例验证。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 正确运用职业自我四维模型（兴趣、性格、能力、价值观）分析个人特质与职业选择的联系。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6. 通过个人反思、科学测评、他人评价、实践探索等多种方法探索自我，对自我的认识全面深入。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7. 自我探索后的职业方向应包含多种可能性和发展方向。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职业探索（25%）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1．了解社会的整体就业趋势，了解当前大学生的就业状况。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 对目标职业所处行业现状、前景及行业就业需求了解清晰。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3．熟悉目标职业的工作内容、工作环境、典型生活方式，了解目标职业的待遇、回馈及未来发展。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4．对目标职位的进入途径、胜任标准了解清晰，深入了解目标职业对生活的影响。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5．调查1-3个可能选择的职业，包含首选职业与备选职业，清楚不同职业的优势与挑战。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6．在探索过程中应用到文献检索、访谈、见习、实习等多种方法。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职业决策（15%）</w:t>
            </w:r>
          </w:p>
          <w:p>
            <w:pPr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1．职业目标决策要紧密结合自我探索与职业探索结果，分析个人优劣势及面临的机会和挑战，职业目标的选择过程阐述详尽，合乎逻辑。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2．首选职业目标制定要符合实际、可执行、可实现。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3．备选目标职业发展路径与首选目标发展路径要有一定相关性。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4．能够正确运用评估理论和决策模型做出决策。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计划路径（15%）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1．行动计划对保持个人优势、加强不足、提升竞争力有针对性、可操作性。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2．近期计划详尽清晰、可操作性强，中期计划清晰并具有灵活性，长期计划具有方向性。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3．职业发展路径充分考虑进入途径、胜任标准等探索结果，符合逻辑和现实，具有可操作性和竞争力。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评估调整（10%）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1．对行动计划和职业目标设定评估方案，如要达到什么标准，评估的要素是什么。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2．能够对行动计划实施过程和风险做出评估，并制定切实可行的调整方案。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3．调整方案的制定充分根据个人与环境的评估进行分析确定，充分考虑首选目标与备选目标间的联系和差异，具有可操作性。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作品撰写（10%）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1．作品内容完整，对自我和外部环境分析全面，提出自己的职业目标、发展路径和行动计划。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2．报告思路清晰、逻辑合理，能准确把握职业规划设计的核心与关键。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3．报告格式清晰，图文并茂，文字流畅。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决赛第二阶段：现场自我展示及答辩</w:t>
      </w:r>
      <w:r>
        <w:rPr>
          <w:rFonts w:hint="eastAsia" w:ascii="黑体" w:eastAsia="黑体"/>
          <w:sz w:val="28"/>
          <w:szCs w:val="32"/>
        </w:rPr>
        <w:t>（占总决赛成绩50%）</w:t>
      </w:r>
    </w:p>
    <w:tbl>
      <w:tblPr>
        <w:tblStyle w:val="4"/>
        <w:tblW w:w="9492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22"/>
        <w:gridCol w:w="6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评分要素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评分要点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PPT展示（70%）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作品陈述（15%）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1．内容完整，对自我和外部环境分析全面，提出自己的职业目标、发展路径和行动计划。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2．思路清晰、逻辑合理，能准确把握职业规划设计的核心与关键。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整体逻辑（15%）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展示内容前后逻辑紧密，环节紧凑，设计合理。答辩内容与展示内容具有整体一致性，条理清晰，结论明确。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时间把控（10%）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在规定时间内完成陈述回答评委提问，无拖延时间行为。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PPT内容（15%）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PPT设计简洁大方，重点突出，简明扼要，能够精确提炼职业规划项目要点。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语言表达（15%）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语言运用准确、简洁、流畅而富有逻辑的严密性。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表达具有说服力和感染力。语速适中，重点突出。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现场答辩（30%）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回答内容（15%）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回答内容准确、精炼，重点突出、切合题意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回答内容真实可信，运用事实论据，论述有说服力。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答题过程条理清晰，层次分明，结论明确。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回答能力（15%）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能正确理解评委提问，作出有针对性的回答。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应变能力强，能够灵活的、创造性的作答。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答题过程流畅、无明显停顿。</w:t>
            </w:r>
          </w:p>
        </w:tc>
      </w:tr>
    </w:tbl>
    <w:p>
      <w:pPr>
        <w:adjustRightInd w:val="0"/>
        <w:snapToGrid w:val="0"/>
        <w:spacing w:line="540" w:lineRule="atLeast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ascii="仿宋_GB2312" w:hAnsi="微软雅黑" w:eastAsia="仿宋_GB2312"/>
          <w:b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福建省大学生职业规划大赛平台操作说明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【学生注册流程】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1、进入大赛平台</w:t>
      </w:r>
      <w:r>
        <w:fldChar w:fldCharType="begin"/>
      </w:r>
      <w:r>
        <w:instrText xml:space="preserve"> HYPERLINK "http://www.qcwlyss.com" \t "_blank" </w:instrText>
      </w:r>
      <w:r>
        <w:fldChar w:fldCharType="separate"/>
      </w:r>
      <w:r>
        <w:rPr>
          <w:rFonts w:hint="eastAsia" w:ascii="仿宋_GB2312" w:hAnsi="黑体" w:eastAsia="仿宋_GB2312"/>
          <w:sz w:val="28"/>
          <w:szCs w:val="28"/>
        </w:rPr>
        <w:t>http://www.qcwlyss.com</w:t>
      </w:r>
      <w:r>
        <w:rPr>
          <w:rFonts w:ascii="仿宋_GB2312" w:hAnsi="黑体" w:eastAsia="仿宋_GB2312"/>
          <w:sz w:val="28"/>
          <w:szCs w:val="28"/>
        </w:rPr>
        <w:fldChar w:fldCharType="end"/>
      </w:r>
      <w:r>
        <w:rPr>
          <w:rFonts w:hint="eastAsia" w:ascii="仿宋_GB2312" w:hAnsi="黑体" w:eastAsia="仿宋_GB2312"/>
          <w:sz w:val="28"/>
          <w:szCs w:val="28"/>
        </w:rPr>
        <w:t>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2、选择【第十二届福建省大学生职业规划大赛】进入报名；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3、请点击右上角-【注册/登录】进行【注册学生帐号】；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4、注册完后，选择登录身份-【参赛团队】登录，完善个人信息；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5、等待本校赛事管理员授权提交省赛项目；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6、授权通过后点击【提交省赛项目】，按照大赛要求进行提交项目；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7、提交完成后，可以通过【我的项目】菜单查看项目审核情况。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</w:t>
      </w:r>
      <w:r>
        <w:rPr>
          <w:rFonts w:ascii="黑体" w:hAnsi="黑体" w:eastAsia="黑体"/>
          <w:sz w:val="32"/>
          <w:szCs w:val="32"/>
        </w:rPr>
        <w:t>高校赛事</w:t>
      </w:r>
      <w:r>
        <w:rPr>
          <w:rFonts w:hint="eastAsia" w:ascii="黑体" w:hAnsi="黑体" w:eastAsia="黑体"/>
          <w:sz w:val="32"/>
          <w:szCs w:val="32"/>
        </w:rPr>
        <w:t>管理员</w:t>
      </w:r>
      <w:r>
        <w:rPr>
          <w:rFonts w:ascii="黑体" w:hAnsi="黑体" w:eastAsia="黑体"/>
          <w:sz w:val="32"/>
          <w:szCs w:val="32"/>
        </w:rPr>
        <w:t>注册流程</w:t>
      </w:r>
      <w:r>
        <w:rPr>
          <w:rFonts w:hint="eastAsia" w:ascii="黑体" w:hAnsi="黑体" w:eastAsia="黑体"/>
          <w:sz w:val="32"/>
          <w:szCs w:val="32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1、进入大赛平台</w:t>
      </w:r>
      <w:r>
        <w:fldChar w:fldCharType="begin"/>
      </w:r>
      <w:r>
        <w:instrText xml:space="preserve"> HYPERLINK "http://www.qcwlyss.com" \t "_blank" </w:instrText>
      </w:r>
      <w:r>
        <w:fldChar w:fldCharType="separate"/>
      </w:r>
      <w:r>
        <w:rPr>
          <w:rFonts w:hint="eastAsia" w:ascii="仿宋_GB2312" w:hAnsi="黑体" w:eastAsia="仿宋_GB2312"/>
          <w:sz w:val="28"/>
          <w:szCs w:val="28"/>
        </w:rPr>
        <w:t>http://www.qcwlyss.com</w:t>
      </w:r>
      <w:r>
        <w:rPr>
          <w:rFonts w:ascii="仿宋_GB2312" w:hAnsi="黑体" w:eastAsia="仿宋_GB2312"/>
          <w:sz w:val="28"/>
          <w:szCs w:val="28"/>
        </w:rPr>
        <w:fldChar w:fldCharType="end"/>
      </w:r>
      <w:r>
        <w:rPr>
          <w:rFonts w:hint="eastAsia" w:ascii="仿宋_GB2312" w:hAnsi="黑体" w:eastAsia="仿宋_GB2312"/>
          <w:sz w:val="28"/>
          <w:szCs w:val="28"/>
        </w:rPr>
        <w:t>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2、选择【第十二届福建省大学生职业规划大赛】进行申请；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3、请点击右上角-【成为管理员】选择赛事填写信息进行提交申请；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4、等待省管理员审核后，查收包含管理员帐号密码的手机短信；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5、再次进入赛事网站，点击右上角-【注册/登录】-选择登录身份-【赛事管理员】进行登录；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6、选择【授权/报送】-【报送管理】，输入学生手机号进行授权，已授权的学生可以提交省赛项目；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7、待学生登录平台提交省赛项目后，在【授权/报送】-【报送管理】进行【审核】并【报送】；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8、校管理员可以在【材料】-【材料提交】进行提交“第十二届福建省大学生职业规划大赛作品申报表”。</w:t>
      </w:r>
    </w:p>
    <w:p>
      <w:pPr>
        <w:adjustRightInd w:val="0"/>
        <w:snapToGrid w:val="0"/>
        <w:spacing w:line="500" w:lineRule="exact"/>
        <w:jc w:val="both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587" w:bottom="1440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第十二届福建省大学生职业规划大赛作品申报表</w:t>
      </w:r>
    </w:p>
    <w:p>
      <w:pPr>
        <w:jc w:val="both"/>
        <w:rPr>
          <w:rFonts w:ascii="仿宋_GB2312" w:hAnsi="仿宋" w:eastAsia="仿宋_GB2312"/>
          <w:sz w:val="32"/>
          <w:szCs w:val="32"/>
        </w:rPr>
      </w:pPr>
    </w:p>
    <w:p>
      <w:pPr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高校名称：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（盖章）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填表时间：2019年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tbl>
      <w:tblPr>
        <w:tblStyle w:val="5"/>
        <w:tblW w:w="14535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08"/>
        <w:gridCol w:w="1530"/>
        <w:gridCol w:w="2432"/>
        <w:gridCol w:w="851"/>
        <w:gridCol w:w="992"/>
        <w:gridCol w:w="1417"/>
        <w:gridCol w:w="992"/>
        <w:gridCol w:w="1341"/>
        <w:gridCol w:w="13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708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参赛作品名称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ind w:left="-74" w:firstLine="74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243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身份证号</w:t>
            </w: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年级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院系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专业</w:t>
            </w:r>
          </w:p>
        </w:tc>
        <w:tc>
          <w:tcPr>
            <w:tcW w:w="1341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联系电话</w:t>
            </w:r>
          </w:p>
        </w:tc>
        <w:tc>
          <w:tcPr>
            <w:tcW w:w="130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电子邮箱</w:t>
            </w: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708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3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708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3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</w:p>
    <w:p>
      <w:pPr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负责人：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</w:p>
    <w:p>
      <w:pPr>
        <w:adjustRightInd w:val="0"/>
        <w:snapToGrid w:val="0"/>
        <w:spacing w:line="360" w:lineRule="auto"/>
        <w:jc w:val="both"/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1440" w:right="1701" w:bottom="1440" w:left="1701" w:header="851" w:footer="992" w:gutter="0"/>
          <w:cols w:space="720" w:num="1"/>
          <w:rtlGutter w:val="0"/>
          <w:docGrid w:type="lines" w:linePitch="32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man Old Style">
    <w:altName w:val="Georgia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1285" cy="1377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9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/hqzEdIAAAAD&#10;AQAADwAAAGRycy9kb3ducmV2LnhtbE2PwU7DMBBE70j8g7VI3KiTgoCGOJWoCEckGg4ct/E2Cdjr&#10;yHbT8Pe4XOhlpdGMZt6W69kaMZEPg2MF+SIDQdw6PXCn4KOpbx5BhIis0TgmBT8UYF1dXpRYaHfk&#10;d5q2sROphEOBCvoYx0LK0PZkMSzcSJy8vfMWY5K+k9rjMZVbI5dZdi8tDpwWehxp01P7vT1YBZu6&#10;afxEwZtPeq1vv96e7+hlVur6Ks+eQESa438YTvgJHarEtHMH1kEYBemR+HdP3ioHsVOwzB9AVqU8&#10;Z69+AVBLAwQUAAAACACHTuJA569qqRgCAAATBAAADgAAAGRycy9lMm9Eb2MueG1srVPLbhMxFN0j&#10;8Q+W92SSVGlLlEkVWgUhVbRSQKwdj50ZyS/ZTmbCB8AfsGLTPd+V7+DYyaQIWCE2nju+z3Pu8eym&#10;04rshA+NNSUdDYaUCMNt1ZhNST9+WL66piREZiqmrBEl3YtAb+YvX8xaNxVjW1tVCU9QxIRp60pa&#10;x+imRRF4LTQLA+uEgVNar1nEr98UlWctqmtVjIfDy6K1vnLechECbu+OTjrP9aUUPD5IGUQkqqSY&#10;LebT53OdzmI+Y9ONZ65u+GkM9g9TaNYYND2XumORka1v/iilG+5tsDIOuNWFlbLhImMAmtHwNzSr&#10;mjmRsYCc4M40hf9Xlr/fPXrSVCWdUGKYxooO374evv84PH0hk0RP68IUUSuHuNi9sR3W3N8HXCbU&#10;nfQ6fYGHwA+i92dyRRcJT0nj0fgaTThco4urq9e5evGc7HyIb4XVJBkl9dhdppTt7kPEIAjtQ1Iv&#10;Y5eNUnl/ypC2pJcXk2FOOHuQoUyKFVkJpzIJ0HHwZMVu3Z1Qrm21B0hvjyoJji8bjHLPQnxkHrIA&#10;Lkg9PuCQyqKlPVmU1NZ//tt9ise24KWkhcxKavAOKFHvDLaYFNkbvjfWvWG2+tZCtyM8IceziQQf&#10;VW9Kb/Un6H+ResDFDEenksbevI1HqeP9cLFY5CDozrF4b1aOp9KJnuAW2wg6M8uJlCMToDz9QHmZ&#10;/NMrSdL+9T9HPb/l+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+GrMR0gAAAAMBAAAPAAAAAAAA&#10;AAEAIAAAACIAAABkcnMvZG93bnJldi54bWxQSwECFAAUAAAACACHTuJA569qqRgCAAATBAAADgAA&#10;AAAAAAABACAAAAAh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7128"/>
    <w:rsid w:val="5D50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2019-07-02T03:39:00Z</dcterms:created>
  <dc:creator>user</dc:creator>
  <cp:lastModifiedBy>user</cp:lastModifiedBy>
  <dcterms:modified xsi:type="dcterms:W3CDTF">2019-07-02T03:39:35Z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