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28"/>
          <w:szCs w:val="28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eastAsia="仿宋"/>
          <w:b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2021年职业教育活动周全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性活动清单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省教育厅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组织2021年职业教育活动周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福建省主会场活动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宣</w:t>
      </w:r>
      <w:r>
        <w:rPr>
          <w:rFonts w:hint="eastAsia" w:ascii="仿宋_GB2312" w:hAnsi="仿宋_GB2312" w:eastAsia="仿宋_GB2312" w:cs="仿宋_GB2312"/>
          <w:sz w:val="32"/>
          <w:szCs w:val="32"/>
        </w:rPr>
        <w:t>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媒体在活动周期间集中宣传职业教育。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网信办组织指导网络新媒体在活动周期间集中宣传职业教育。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省人社厅会同省教育厅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高技能领军人才、世赛国赛获奖选手进校园活动。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省工信厅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组织利用互联网等新媒体手段，加强职业教育活动周宣传。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省农业农村厅组织所属农校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集中宣传职业教育助力乡村振兴相关成果。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省国资委会同省教育厅、人社厅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大国工匠、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能工巧匠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进校园</w:t>
      </w:r>
      <w:r>
        <w:rPr>
          <w:rFonts w:hint="eastAsia" w:ascii="仿宋_GB2312" w:hAnsi="仿宋_GB2312" w:eastAsia="仿宋_GB2312" w:cs="仿宋_GB2312"/>
          <w:sz w:val="32"/>
          <w:szCs w:val="32"/>
        </w:rPr>
        <w:t>等活动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会同省教育厅、人社厅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组织开展劳模进校园活动。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团省委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组织开展“职业技能哪家强”网络传播活动。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中华职教社组织开展“最美职校生”网络评选活动、职业院校中华文明礼仪展演活动。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644" w:bottom="1440" w:left="170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华文仿宋" w:eastAsia="黑体"/>
          <w:sz w:val="32"/>
          <w:szCs w:val="32"/>
          <w:lang w:eastAsia="zh-CN"/>
        </w:rPr>
      </w:pPr>
      <w:r>
        <w:rPr>
          <w:rFonts w:hint="eastAsia" w:ascii="黑体" w:hAnsi="华文仿宋" w:eastAsia="黑体"/>
          <w:sz w:val="32"/>
          <w:szCs w:val="32"/>
        </w:rPr>
        <w:t>附件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eastAsia" w:ascii="黑体" w:hAnsi="华文仿宋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信息报送要求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1.文字材料：活动整体概况和特色工作的文字介绍材料字数在800-1500字左右。材料须按以下格式要求排版提交：标题为方正小标宋简体二号；报送单位为楷体三号；正文为仿宋_GB2312三号。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2.照片：JPG格式，图片宽不低于2000像素，单张不低于2M，请对每张图片配文字说明（此组图片建议由专业摄影师拍摄提供）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，每个案例或稿件的照片不超过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3.动漫、视频短片：200M以内，分辨率标清以上（建议 1280*720），格式为mp4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，每个案例或稿件的视频不超过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4.报送各类媒体报道的信息，不得以截图形式直接报送。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职业教育活动周标识</w:t>
      </w:r>
    </w:p>
    <w:p>
      <w:pPr>
        <w:rPr>
          <w:rFonts w:ascii="Times New Roman" w:hAnsi="Times New Roman" w:eastAsia="仿宋_GB2312" w:cs="Times New Roman"/>
          <w:b/>
          <w:sz w:val="24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28"/>
          <w:szCs w:val="36"/>
        </w:rPr>
      </w:pPr>
      <w:r>
        <w:rPr>
          <w:rFonts w:ascii="Times New Roman" w:hAnsi="Times New Roman" w:eastAsia="方正小标宋简体" w:cs="Times New Roman"/>
          <w:sz w:val="28"/>
          <w:szCs w:val="36"/>
        </w:rPr>
        <w:drawing>
          <wp:inline distT="0" distB="0" distL="114300" distR="114300">
            <wp:extent cx="3529965" cy="3972560"/>
            <wp:effectExtent l="0" t="0" r="13335" b="8890"/>
            <wp:docPr id="1" name="图片 1" descr="职业教育活动周标识（LOGO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业教育活动周标识（LOGO）"/>
                    <pic:cNvPicPr>
                      <a:picLocks noChangeAspect="1"/>
                    </pic:cNvPicPr>
                  </pic:nvPicPr>
                  <pic:blipFill>
                    <a:blip r:embed="rId5"/>
                    <a:srcRect l="13257" t="12064" r="9091" b="26006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397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1.标识设计以手为造型基础，突出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“手”</w:t>
      </w:r>
      <w:r>
        <w:rPr>
          <w:rFonts w:hint="eastAsia" w:ascii="仿宋_GB2312" w:hAnsi="仿宋_GB2312" w:eastAsia="仿宋_GB2312" w:cs="仿宋_GB2312"/>
          <w:sz w:val="32"/>
          <w:szCs w:val="32"/>
        </w:rPr>
        <w:t>这一主题元素，简洁贴切地勾画出职业教育的可视形象，昭示着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劳动光荣、技能宝贵、创造伟大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，直观地展现职业教育活动周的活动，立意准确，寓意深远。特别是，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手掌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的设计经过巧妙处理，融入“齿轮”轮廓，强化设计主题的“职业性”，突出“产教融合”的含义，同时，字母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是教育的英文首字母。通过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的变形，直观地为标识引入“互联网+”的时代背景，彰显我国职业教育的“现代性”。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2.五个张开的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手指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，使得整个标识似冉冉升起的一轮朝阳，昭示中国职教的基础地位和职教中国的精彩未来。通过五种色彩的变化，象征职业教育国际化。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3.设计以象征技术技能人才的蓝色为主题色，融合中国风的笔墨元素，既展示中华优秀传统文化的艺术魅力，又展现我国现代职业教育体系的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属性，图案构成流畅自然、沉稳而又生动简洁，便于传播使用。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420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822" w:firstLineChars="25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22" w:firstLineChars="25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22" w:firstLineChars="25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22" w:firstLineChars="25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22" w:firstLineChars="25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22" w:firstLineChars="25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22" w:firstLineChars="257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996270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996270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BDC3"/>
    <w:multiLevelType w:val="singleLevel"/>
    <w:tmpl w:val="16EABDC3"/>
    <w:lvl w:ilvl="0" w:tentative="0">
      <w:start w:val="1"/>
      <w:numFmt w:val="decimal"/>
      <w:suff w:val="nothing"/>
      <w:lvlText w:val="%1.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E5889"/>
    <w:rsid w:val="02AC6384"/>
    <w:rsid w:val="059A5254"/>
    <w:rsid w:val="074C42A8"/>
    <w:rsid w:val="086B5315"/>
    <w:rsid w:val="0874485C"/>
    <w:rsid w:val="08B43986"/>
    <w:rsid w:val="08DC3145"/>
    <w:rsid w:val="093950C6"/>
    <w:rsid w:val="0A953549"/>
    <w:rsid w:val="0D7B22BA"/>
    <w:rsid w:val="0EB23364"/>
    <w:rsid w:val="106801A8"/>
    <w:rsid w:val="122768DC"/>
    <w:rsid w:val="12B64C80"/>
    <w:rsid w:val="14733A26"/>
    <w:rsid w:val="1E222038"/>
    <w:rsid w:val="1F283DD9"/>
    <w:rsid w:val="1F95197A"/>
    <w:rsid w:val="208D40B0"/>
    <w:rsid w:val="21865304"/>
    <w:rsid w:val="22571735"/>
    <w:rsid w:val="235828D5"/>
    <w:rsid w:val="237631AF"/>
    <w:rsid w:val="254802FA"/>
    <w:rsid w:val="25A84864"/>
    <w:rsid w:val="262133F9"/>
    <w:rsid w:val="26EE5889"/>
    <w:rsid w:val="282977E9"/>
    <w:rsid w:val="28D82A31"/>
    <w:rsid w:val="2A350BD8"/>
    <w:rsid w:val="2B4A32FD"/>
    <w:rsid w:val="2E9B595A"/>
    <w:rsid w:val="2EC241C7"/>
    <w:rsid w:val="302C1A0B"/>
    <w:rsid w:val="312516D5"/>
    <w:rsid w:val="34540312"/>
    <w:rsid w:val="34933928"/>
    <w:rsid w:val="358F639D"/>
    <w:rsid w:val="35DE4F33"/>
    <w:rsid w:val="36F2182B"/>
    <w:rsid w:val="3843458D"/>
    <w:rsid w:val="38847F61"/>
    <w:rsid w:val="39E960E6"/>
    <w:rsid w:val="3BA612E8"/>
    <w:rsid w:val="3BFC46D6"/>
    <w:rsid w:val="3DCD0901"/>
    <w:rsid w:val="3E951616"/>
    <w:rsid w:val="3F172729"/>
    <w:rsid w:val="409348EF"/>
    <w:rsid w:val="45582E66"/>
    <w:rsid w:val="4647574A"/>
    <w:rsid w:val="464A6DE3"/>
    <w:rsid w:val="47B227E0"/>
    <w:rsid w:val="47CB5FBF"/>
    <w:rsid w:val="4855725A"/>
    <w:rsid w:val="4A635C85"/>
    <w:rsid w:val="4B123FB1"/>
    <w:rsid w:val="4B182B49"/>
    <w:rsid w:val="4B791D5C"/>
    <w:rsid w:val="4E995DEA"/>
    <w:rsid w:val="4F2421FC"/>
    <w:rsid w:val="4F594F97"/>
    <w:rsid w:val="50312C24"/>
    <w:rsid w:val="505067D6"/>
    <w:rsid w:val="50C56B1C"/>
    <w:rsid w:val="51027A9C"/>
    <w:rsid w:val="51B001B4"/>
    <w:rsid w:val="52DA055B"/>
    <w:rsid w:val="54D1269E"/>
    <w:rsid w:val="57EC1F16"/>
    <w:rsid w:val="598E4DFB"/>
    <w:rsid w:val="5B335476"/>
    <w:rsid w:val="5B3F544F"/>
    <w:rsid w:val="5C5C7A61"/>
    <w:rsid w:val="5C9679C1"/>
    <w:rsid w:val="5CC453FA"/>
    <w:rsid w:val="5DC835DF"/>
    <w:rsid w:val="60357737"/>
    <w:rsid w:val="61CA6DE8"/>
    <w:rsid w:val="628D2D84"/>
    <w:rsid w:val="64130C6B"/>
    <w:rsid w:val="64C55DE5"/>
    <w:rsid w:val="65BF01F4"/>
    <w:rsid w:val="6C425461"/>
    <w:rsid w:val="6E6C7CAF"/>
    <w:rsid w:val="720A4A1A"/>
    <w:rsid w:val="737F44F5"/>
    <w:rsid w:val="748E35DB"/>
    <w:rsid w:val="75520A37"/>
    <w:rsid w:val="794617CD"/>
    <w:rsid w:val="7957181E"/>
    <w:rsid w:val="7BDD7B91"/>
    <w:rsid w:val="7E2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黑体" w:eastAsia="仿宋_GB2312" w:cs="方正小标宋简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2019-04-29T02:14:00Z</dcterms:created>
  <dc:creator>陈晋淞</dc:creator>
  <cp:lastModifiedBy>娟</cp:lastModifiedBy>
  <cp:lastPrinted>2021-04-25T11:36:00Z</cp:lastPrinted>
  <dcterms:modified xsi:type="dcterms:W3CDTF">2021-05-12T03:27:47Z</dcterms:modified>
  <dc:title>福建省教育厅等十部门关于做好2019年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