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line="570" w:lineRule="exact"/>
        <w:ind w:firstLine="0" w:firstLineChars="0"/>
        <w:jc w:val="center"/>
        <w:rPr>
          <w:rFonts w:ascii="方正小标宋简体" w:hAnsi="宋体" w:eastAsia="方正小标宋简体" w:cs="Arial"/>
          <w:bCs/>
          <w:sz w:val="40"/>
          <w:szCs w:val="40"/>
        </w:rPr>
      </w:pPr>
      <w:r>
        <w:rPr>
          <w:rFonts w:hint="eastAsia" w:ascii="方正小标宋简体" w:hAnsi="宋体" w:eastAsia="方正小标宋简体" w:cs="Arial"/>
          <w:bCs/>
          <w:sz w:val="40"/>
          <w:szCs w:val="40"/>
        </w:rPr>
        <w:t>关于促进高校和科研机构科技成果转化</w:t>
      </w:r>
    </w:p>
    <w:p>
      <w:pPr>
        <w:widowControl/>
        <w:spacing w:line="570" w:lineRule="exact"/>
        <w:jc w:val="center"/>
        <w:rPr>
          <w:rFonts w:ascii="方正小标宋简体" w:hAnsi="宋体" w:eastAsia="方正小标宋简体" w:cs="Arial"/>
          <w:bCs/>
          <w:kern w:val="0"/>
          <w:sz w:val="40"/>
          <w:szCs w:val="40"/>
        </w:rPr>
      </w:pPr>
      <w:r>
        <w:rPr>
          <w:rFonts w:hint="eastAsia" w:ascii="方正小标宋简体" w:hAnsi="宋体" w:eastAsia="方正小标宋简体" w:cs="Arial"/>
          <w:bCs/>
          <w:kern w:val="0"/>
          <w:sz w:val="40"/>
          <w:szCs w:val="40"/>
        </w:rPr>
        <w:t>及产业化的若干措施</w:t>
      </w:r>
    </w:p>
    <w:p>
      <w:pPr>
        <w:spacing w:line="570" w:lineRule="exact"/>
        <w:ind w:firstLine="620" w:firstLineChars="200"/>
        <w:rPr>
          <w:rFonts w:ascii="仿宋_GB2312" w:eastAsia="仿宋_GB2312"/>
          <w:sz w:val="31"/>
          <w:szCs w:val="31"/>
        </w:rPr>
      </w:pPr>
    </w:p>
    <w:p>
      <w:pPr>
        <w:spacing w:line="570" w:lineRule="exact"/>
        <w:ind w:firstLine="620" w:firstLineChars="200"/>
        <w:rPr>
          <w:rFonts w:ascii="仿宋_GB2312" w:hAnsi="Times New Roman" w:eastAsia="仿宋_GB2312"/>
          <w:bCs/>
          <w:sz w:val="31"/>
          <w:szCs w:val="31"/>
        </w:rPr>
      </w:pPr>
      <w:r>
        <w:rPr>
          <w:rFonts w:hint="eastAsia" w:ascii="仿宋_GB2312" w:hAnsi="仿宋_GB2312" w:eastAsia="仿宋_GB2312" w:cs="仿宋_GB2312"/>
          <w:sz w:val="31"/>
          <w:szCs w:val="31"/>
        </w:rPr>
        <w:t>为加快推进高校和利用财政资金设立的科学技术研究开发机构（以下简称科研机构）科技成果转化，更好</w:t>
      </w:r>
      <w:r>
        <w:rPr>
          <w:rFonts w:hint="eastAsia" w:ascii="仿宋_GB2312" w:eastAsia="仿宋_GB2312"/>
          <w:sz w:val="31"/>
          <w:szCs w:val="31"/>
        </w:rPr>
        <w:t>服务我省产业发展，全方位推动高质量发展超越，制定本措施。</w:t>
      </w:r>
    </w:p>
    <w:p>
      <w:pPr>
        <w:spacing w:line="570" w:lineRule="exact"/>
        <w:ind w:firstLine="620" w:firstLineChars="200"/>
        <w:rPr>
          <w:rFonts w:ascii="黑体" w:hAnsi="黑体" w:eastAsia="黑体" w:cs="黑体"/>
          <w:bCs/>
          <w:sz w:val="31"/>
          <w:szCs w:val="31"/>
        </w:rPr>
      </w:pPr>
      <w:r>
        <w:rPr>
          <w:rFonts w:hint="eastAsia" w:ascii="黑体" w:hAnsi="黑体" w:eastAsia="黑体" w:cs="黑体"/>
          <w:bCs/>
          <w:sz w:val="31"/>
          <w:szCs w:val="31"/>
        </w:rPr>
        <w:t>一、强化科技成果转化及产业化载体建设</w:t>
      </w:r>
    </w:p>
    <w:p>
      <w:pPr>
        <w:spacing w:line="570" w:lineRule="exact"/>
        <w:ind w:firstLine="622" w:firstLineChars="200"/>
        <w:rPr>
          <w:rFonts w:ascii="仿宋_GB2312" w:hAnsi="仿宋_GB2312" w:eastAsia="仿宋_GB2312" w:cs="仿宋_GB2312"/>
          <w:sz w:val="31"/>
          <w:szCs w:val="31"/>
        </w:rPr>
      </w:pPr>
      <w:r>
        <w:rPr>
          <w:rFonts w:ascii="楷体_GB2312" w:hAnsi="黑体" w:eastAsia="楷体_GB2312"/>
          <w:b/>
          <w:sz w:val="31"/>
          <w:szCs w:val="31"/>
        </w:rPr>
        <w:t>1.</w:t>
      </w:r>
      <w:r>
        <w:rPr>
          <w:rFonts w:hint="eastAsia" w:ascii="楷体_GB2312" w:hAnsi="黑体" w:eastAsia="楷体_GB2312"/>
          <w:b/>
          <w:sz w:val="31"/>
          <w:szCs w:val="31"/>
        </w:rPr>
        <w:t>提升科技创新平台成果转化支撑能力。</w:t>
      </w:r>
      <w:r>
        <w:rPr>
          <w:rFonts w:hint="eastAsia" w:ascii="仿宋_GB2312" w:hAnsi="仿宋_GB2312" w:eastAsia="仿宋_GB2312" w:cs="仿宋_GB2312"/>
          <w:sz w:val="31"/>
          <w:szCs w:val="31"/>
        </w:rPr>
        <w:t>在协同创新中心、工程（技术）研究中心、制造业创新中心等成果转化及产业化重大平台的立项、建设与评估中，加大创新成果转化机制、成果转化和技术服务、对行业贡献能力等成果转化相关指标的权重。鼓励支持高校和科研机构联合企业建设科技成果转化中试平台，突破一批关键技术、转化一批重大科研成果、引导一批产业项目落地，提升科技创新平台成果转化与产业化能力。</w:t>
      </w:r>
    </w:p>
    <w:p>
      <w:pPr>
        <w:spacing w:line="570" w:lineRule="exact"/>
        <w:ind w:firstLine="622" w:firstLineChars="200"/>
        <w:rPr>
          <w:rFonts w:ascii="仿宋_GB2312" w:eastAsia="仿宋_GB2312"/>
          <w:sz w:val="31"/>
          <w:szCs w:val="31"/>
        </w:rPr>
      </w:pPr>
      <w:r>
        <w:rPr>
          <w:rFonts w:ascii="楷体_GB2312" w:hAnsi="黑体" w:eastAsia="楷体_GB2312"/>
          <w:b/>
          <w:sz w:val="31"/>
          <w:szCs w:val="31"/>
        </w:rPr>
        <w:t>2.</w:t>
      </w:r>
      <w:r>
        <w:rPr>
          <w:rFonts w:hint="eastAsia" w:ascii="楷体_GB2312" w:hAnsi="黑体" w:eastAsia="楷体_GB2312"/>
          <w:b/>
          <w:sz w:val="31"/>
          <w:szCs w:val="31"/>
        </w:rPr>
        <w:t>加强科技成果转化孵化载体建设。</w:t>
      </w:r>
      <w:r>
        <w:rPr>
          <w:rFonts w:hint="eastAsia" w:ascii="仿宋_GB2312" w:eastAsia="仿宋_GB2312"/>
          <w:sz w:val="31"/>
          <w:szCs w:val="31"/>
        </w:rPr>
        <w:t>发挥厦门大学、福州大学国家大学科技园的科技创业孵化功能和示范带动作用，支持更多高校争创国家大学科技园。鼓励高校和科研机构与企业共建各具特色、梯次衔接的新型孵化载体，引进专业团队运营管理，打造具有专业特色的、符合地方产业发展方向的孵化载体，为科技成果转化和在孵企业提供商务、信息、咨询、培训、市场、投融资、技术开发与合作交流等全链条服务。</w:t>
      </w:r>
    </w:p>
    <w:p>
      <w:pPr>
        <w:spacing w:line="570" w:lineRule="exact"/>
        <w:ind w:firstLine="622" w:firstLineChars="200"/>
        <w:rPr>
          <w:rFonts w:ascii="仿宋_GB2312" w:eastAsia="仿宋_GB2312"/>
          <w:sz w:val="31"/>
          <w:szCs w:val="31"/>
        </w:rPr>
      </w:pPr>
      <w:r>
        <w:rPr>
          <w:rFonts w:ascii="楷体_GB2312" w:hAnsi="黑体" w:eastAsia="楷体_GB2312"/>
          <w:b/>
          <w:sz w:val="31"/>
          <w:szCs w:val="31"/>
        </w:rPr>
        <w:t>3.</w:t>
      </w:r>
      <w:r>
        <w:rPr>
          <w:rFonts w:hint="eastAsia" w:ascii="楷体_GB2312" w:hAnsi="黑体" w:eastAsia="楷体_GB2312"/>
          <w:b/>
          <w:sz w:val="31"/>
          <w:szCs w:val="31"/>
        </w:rPr>
        <w:t>试点建设概念验证中心。</w:t>
      </w:r>
      <w:r>
        <w:rPr>
          <w:rFonts w:hint="eastAsia" w:ascii="仿宋_GB2312" w:eastAsia="仿宋_GB2312"/>
          <w:sz w:val="31"/>
          <w:szCs w:val="31"/>
        </w:rPr>
        <w:t>支持高校和科研机构科技成果转化前端培育，鼓励若干有条件的高校和科研机构试点建立概念验证中心，通过提供种子资金、商业顾问、创业教育等对概念验证活动进行个性化支持，打通技术创新链与产业价值链，尽早识别具有商业化和社会化前景的项目，从源头提高资源配置的利用效率</w:t>
      </w:r>
      <w:r>
        <w:rPr>
          <w:rFonts w:ascii="仿宋_GB2312" w:eastAsia="仿宋_GB2312"/>
          <w:sz w:val="31"/>
          <w:szCs w:val="31"/>
        </w:rPr>
        <w:t>,</w:t>
      </w:r>
      <w:r>
        <w:rPr>
          <w:rFonts w:hint="eastAsia" w:ascii="仿宋_GB2312" w:eastAsia="仿宋_GB2312"/>
          <w:sz w:val="31"/>
          <w:szCs w:val="31"/>
        </w:rPr>
        <w:t>帮助解决高校和科研机构科研成果与可市场化成果之间的鸿沟，促使科研人员成功踏出科技成果转化的“最初一步”。</w:t>
      </w:r>
    </w:p>
    <w:p>
      <w:pPr>
        <w:spacing w:line="570" w:lineRule="exact"/>
        <w:ind w:firstLine="622" w:firstLineChars="200"/>
        <w:rPr>
          <w:rFonts w:ascii="仿宋_GB2312" w:hAnsi="楷体" w:eastAsia="仿宋_GB2312" w:cs="仿宋_GB2312"/>
          <w:sz w:val="31"/>
          <w:szCs w:val="31"/>
        </w:rPr>
      </w:pPr>
      <w:r>
        <w:rPr>
          <w:rFonts w:ascii="楷体_GB2312" w:hAnsi="黑体" w:eastAsia="楷体_GB2312"/>
          <w:b/>
          <w:sz w:val="31"/>
          <w:szCs w:val="31"/>
        </w:rPr>
        <w:t>4.</w:t>
      </w:r>
      <w:r>
        <w:rPr>
          <w:rFonts w:hint="eastAsia" w:ascii="楷体_GB2312" w:hAnsi="黑体" w:eastAsia="楷体_GB2312"/>
          <w:b/>
          <w:sz w:val="31"/>
          <w:szCs w:val="31"/>
        </w:rPr>
        <w:t>实施“揭榜挂帅”产业化联合攻关。</w:t>
      </w:r>
      <w:r>
        <w:rPr>
          <w:rFonts w:hint="eastAsia" w:ascii="仿宋_GB2312" w:hAnsi="仿宋_GB2312" w:eastAsia="仿宋_GB2312" w:cs="仿宋_GB2312"/>
          <w:sz w:val="31"/>
          <w:szCs w:val="31"/>
        </w:rPr>
        <w:t>实施高校产学研联合创新项目，聚焦我省主导产业、新兴产业等面临的重大技术需求，组织动员各高校间、高校与企业间开展技术供需对接，推行以“揭榜挂帅”方式策划生成项目和联合团队，促进我省高校之间优势互补和协同创新，加强人才、技术、资源整合，激活高校各类人才开展创新和成果转化的积极性，选贤举能、唯求实效，努力让能者脱颖而出，共同服务我省企业技术创新和产业高质量发展。</w:t>
      </w:r>
    </w:p>
    <w:p>
      <w:pPr>
        <w:spacing w:line="570" w:lineRule="exact"/>
        <w:ind w:firstLine="620" w:firstLineChars="200"/>
        <w:rPr>
          <w:rFonts w:ascii="黑体" w:hAnsi="黑体" w:eastAsia="黑体"/>
          <w:bCs/>
          <w:sz w:val="31"/>
          <w:szCs w:val="31"/>
        </w:rPr>
      </w:pPr>
      <w:r>
        <w:rPr>
          <w:rFonts w:hint="eastAsia" w:ascii="黑体" w:hAnsi="黑体" w:eastAsia="黑体"/>
          <w:bCs/>
          <w:sz w:val="31"/>
          <w:szCs w:val="31"/>
        </w:rPr>
        <w:t>二、打造多层次科技成果转化及产业化人才队伍</w:t>
      </w:r>
    </w:p>
    <w:p>
      <w:pPr>
        <w:spacing w:line="570" w:lineRule="exact"/>
        <w:ind w:firstLine="622" w:firstLineChars="200"/>
        <w:rPr>
          <w:rFonts w:ascii="仿宋_GB2312" w:hAnsi="黑体" w:eastAsia="仿宋_GB2312"/>
          <w:bCs/>
          <w:sz w:val="31"/>
          <w:szCs w:val="31"/>
        </w:rPr>
      </w:pPr>
      <w:r>
        <w:rPr>
          <w:rFonts w:ascii="楷体_GB2312" w:hAnsi="黑体" w:eastAsia="楷体_GB2312"/>
          <w:b/>
          <w:sz w:val="31"/>
          <w:szCs w:val="31"/>
        </w:rPr>
        <w:t>5.</w:t>
      </w:r>
      <w:r>
        <w:rPr>
          <w:rFonts w:hint="eastAsia" w:ascii="楷体_GB2312" w:hAnsi="黑体" w:eastAsia="楷体_GB2312"/>
          <w:b/>
          <w:sz w:val="31"/>
          <w:szCs w:val="31"/>
        </w:rPr>
        <w:t>加强科技成果转化领军团队建设。</w:t>
      </w:r>
      <w:r>
        <w:rPr>
          <w:rFonts w:hint="eastAsia" w:ascii="仿宋_GB2312" w:hAnsi="仿宋_GB2312" w:eastAsia="仿宋_GB2312" w:cs="仿宋_GB2312"/>
          <w:sz w:val="31"/>
          <w:szCs w:val="31"/>
        </w:rPr>
        <w:t>聚焦重大科技任务、重大产业技术需求，在高校和科研机构建设若干原创型、应用型、转化型科技创新团队和产业领军团队，建立持续跟踪机制，指导每个团队聚焦一类关键核心技术攻关、解决一批“卡脖子”问题，为相关产业集群创新升级攻坚赋能，促进我省产业高质量发展。</w:t>
      </w:r>
    </w:p>
    <w:p>
      <w:pPr>
        <w:spacing w:line="570" w:lineRule="exact"/>
        <w:ind w:firstLine="622" w:firstLineChars="200"/>
        <w:rPr>
          <w:rFonts w:ascii="仿宋_GB2312" w:hAnsi="楷体" w:eastAsia="仿宋_GB2312" w:cs="仿宋_GB2312"/>
          <w:sz w:val="31"/>
          <w:szCs w:val="31"/>
        </w:rPr>
      </w:pPr>
      <w:r>
        <w:rPr>
          <w:rFonts w:ascii="楷体_GB2312" w:hAnsi="黑体" w:eastAsia="楷体_GB2312"/>
          <w:b/>
          <w:sz w:val="31"/>
          <w:szCs w:val="31"/>
        </w:rPr>
        <w:t>6.</w:t>
      </w:r>
      <w:r>
        <w:rPr>
          <w:rFonts w:hint="eastAsia" w:ascii="楷体_GB2312" w:hAnsi="黑体" w:eastAsia="楷体_GB2312"/>
          <w:b/>
          <w:sz w:val="31"/>
          <w:szCs w:val="31"/>
        </w:rPr>
        <w:t>培育壮大科技成果转化服务专业队伍。</w:t>
      </w:r>
      <w:r>
        <w:rPr>
          <w:rFonts w:hint="eastAsia" w:ascii="仿宋_GB2312" w:eastAsia="仿宋_GB2312"/>
          <w:sz w:val="31"/>
          <w:szCs w:val="31"/>
        </w:rPr>
        <w:t>支持有条件的高校开设技术转移相关课程，培养科技成果转移转化人才。加强专业化技术转化人才的培养和引进，鼓励高校聘用科技专家团队从事科技成果转化工作，组建成果转化与产业化运营团队，并制定针对从事科技成果转化工作人员的人才评价标准和相应激励措施，对在促进科技成果转化方面作出突出贡献的人员给予奖励。面向科研人员开展成果转化工作培训，提升高校科研人员成果转化政策水平和科技金融等专业知识水平，培养一批既懂技术又懂市场的复合型科技成果转化专业人才。</w:t>
      </w:r>
    </w:p>
    <w:p>
      <w:pPr>
        <w:spacing w:line="570" w:lineRule="exact"/>
        <w:ind w:firstLine="622" w:firstLineChars="200"/>
        <w:rPr>
          <w:rFonts w:ascii="仿宋_GB2312" w:hAnsi="楷体" w:eastAsia="仿宋_GB2312" w:cs="仿宋_GB2312"/>
          <w:sz w:val="31"/>
          <w:szCs w:val="31"/>
        </w:rPr>
      </w:pPr>
      <w:r>
        <w:rPr>
          <w:rFonts w:ascii="楷体_GB2312" w:hAnsi="黑体" w:eastAsia="楷体_GB2312"/>
          <w:b/>
          <w:sz w:val="31"/>
          <w:szCs w:val="31"/>
        </w:rPr>
        <w:t>7.</w:t>
      </w:r>
      <w:r>
        <w:rPr>
          <w:rFonts w:hint="eastAsia" w:ascii="楷体_GB2312" w:hAnsi="黑体" w:eastAsia="楷体_GB2312"/>
          <w:b/>
          <w:sz w:val="31"/>
          <w:szCs w:val="31"/>
        </w:rPr>
        <w:t>支持高校和企业成果转化人才双向流动。</w:t>
      </w:r>
      <w:r>
        <w:rPr>
          <w:rFonts w:hint="eastAsia" w:ascii="仿宋_GB2312" w:eastAsia="仿宋_GB2312"/>
          <w:sz w:val="31"/>
          <w:szCs w:val="31"/>
        </w:rPr>
        <w:t>支持高校从企业、科研机构等选聘一批科技创新人才、高技能人才和管理人才担任高校产业教授，安排产业教授参与学生指导工作，为产业教授开设应用性或实践性课程提供支持。支持</w:t>
      </w:r>
      <w:r>
        <w:rPr>
          <w:rFonts w:hint="eastAsia" w:ascii="仿宋_GB2312" w:eastAsia="仿宋_GB2312"/>
          <w:bCs/>
          <w:sz w:val="31"/>
          <w:szCs w:val="31"/>
        </w:rPr>
        <w:t>高校和科研机构的专业技术人员在完成本职工作并经征得本单位同意的前提下，到园区、企业、农村等基层一线，兼职企业技术经理等，从事科技成果转化与产业化活动</w:t>
      </w:r>
      <w:r>
        <w:rPr>
          <w:rFonts w:hint="eastAsia" w:ascii="仿宋_GB2312" w:eastAsia="仿宋_GB2312"/>
          <w:sz w:val="31"/>
          <w:szCs w:val="31"/>
        </w:rPr>
        <w:t>。</w:t>
      </w:r>
    </w:p>
    <w:p>
      <w:pPr>
        <w:spacing w:line="570" w:lineRule="exact"/>
        <w:ind w:firstLine="620" w:firstLineChars="200"/>
        <w:rPr>
          <w:rFonts w:ascii="黑体" w:hAnsi="黑体" w:eastAsia="黑体"/>
          <w:bCs/>
          <w:sz w:val="31"/>
          <w:szCs w:val="31"/>
        </w:rPr>
      </w:pPr>
      <w:r>
        <w:rPr>
          <w:rFonts w:hint="eastAsia" w:ascii="黑体" w:hAnsi="黑体" w:eastAsia="黑体"/>
          <w:bCs/>
          <w:sz w:val="31"/>
          <w:szCs w:val="31"/>
        </w:rPr>
        <w:t>三、完善科技成果转化及产业化服务体系</w:t>
      </w:r>
    </w:p>
    <w:p>
      <w:pPr>
        <w:spacing w:line="570" w:lineRule="exact"/>
        <w:ind w:firstLine="622" w:firstLineChars="200"/>
        <w:rPr>
          <w:rFonts w:ascii="仿宋_GB2312" w:hAnsi="楷体" w:eastAsia="仿宋_GB2312" w:cs="仿宋_GB2312"/>
          <w:sz w:val="31"/>
          <w:szCs w:val="31"/>
        </w:rPr>
      </w:pPr>
      <w:r>
        <w:rPr>
          <w:rFonts w:ascii="楷体_GB2312" w:hAnsi="黑体" w:eastAsia="楷体_GB2312"/>
          <w:b/>
          <w:sz w:val="31"/>
          <w:szCs w:val="31"/>
        </w:rPr>
        <w:t>8.</w:t>
      </w:r>
      <w:r>
        <w:rPr>
          <w:rFonts w:hint="eastAsia" w:ascii="楷体_GB2312" w:hAnsi="黑体" w:eastAsia="楷体_GB2312"/>
          <w:b/>
          <w:sz w:val="31"/>
          <w:szCs w:val="31"/>
        </w:rPr>
        <w:t>加强高校和科研机构成果转化机构建设。</w:t>
      </w:r>
      <w:r>
        <w:rPr>
          <w:rFonts w:hint="eastAsia" w:ascii="仿宋_GB2312" w:eastAsia="仿宋_GB2312"/>
          <w:sz w:val="31"/>
          <w:szCs w:val="31"/>
        </w:rPr>
        <w:t>指导高校和科研机构成立科技成果转化领导小组，建立科技成果转移转化重大事项领导班子集体决策制度，统筹科研、成果转化、知识产权、人事、财务、国资等有关机构，形成科技创新和知识产权管理、科技成果转化及产业化相融合的统筹协调机制。加强高校和科研机构技术转化机构或部门的专业化建设，结合高校和科研机构所属企业体制改革，充分发挥资产管理公司等机构的成果评估与作价投资作用。支持高校和科研机构建设科技成果转化及产业化服务咨询机构，打造相关领域高端智库。鼓励高校和科研机构引入具备资质的知识产权专业服务机构，促进知识产权保护运营体系建设，提高专利运用率和转化率。</w:t>
      </w:r>
    </w:p>
    <w:p>
      <w:pPr>
        <w:spacing w:line="570" w:lineRule="exact"/>
        <w:ind w:firstLine="622" w:firstLineChars="200"/>
        <w:rPr>
          <w:rFonts w:ascii="仿宋_GB2312" w:eastAsia="仿宋_GB2312"/>
          <w:sz w:val="31"/>
          <w:szCs w:val="31"/>
        </w:rPr>
      </w:pPr>
      <w:r>
        <w:rPr>
          <w:rFonts w:ascii="楷体_GB2312" w:hAnsi="黑体" w:eastAsia="楷体_GB2312"/>
          <w:b/>
          <w:sz w:val="31"/>
          <w:szCs w:val="31"/>
        </w:rPr>
        <w:t>9.</w:t>
      </w:r>
      <w:r>
        <w:rPr>
          <w:rFonts w:hint="eastAsia" w:ascii="楷体_GB2312" w:hAnsi="黑体" w:eastAsia="楷体_GB2312"/>
          <w:b/>
          <w:sz w:val="31"/>
          <w:szCs w:val="31"/>
        </w:rPr>
        <w:t>创立全省高校技术转移联盟。</w:t>
      </w:r>
      <w:r>
        <w:rPr>
          <w:rFonts w:hint="eastAsia" w:ascii="仿宋_GB2312" w:eastAsia="仿宋_GB2312"/>
          <w:sz w:val="31"/>
          <w:szCs w:val="31"/>
        </w:rPr>
        <w:t>建立中国高校技术转移联盟在我省的区域联盟，聚合我省高校技术转化机构力量，搭建技术转移服务平台，推动校校、校企、校地融合，在科技成果转化、校企融合等方面探索出新的合作模式和运行机制，进一步推动我省联盟与国内其他省份建立高校技术转移省际联盟，辐射全国，服务国家“一带一路”</w:t>
      </w:r>
      <w:r>
        <w:rPr>
          <w:rFonts w:hint="eastAsia" w:ascii="仿宋_GB2312" w:eastAsia="仿宋_GB2312"/>
          <w:sz w:val="31"/>
          <w:szCs w:val="31"/>
          <w:lang w:eastAsia="zh-CN"/>
        </w:rPr>
        <w:t>倡议</w:t>
      </w:r>
      <w:bookmarkStart w:id="0" w:name="_GoBack"/>
      <w:bookmarkEnd w:id="0"/>
      <w:r>
        <w:rPr>
          <w:rFonts w:hint="eastAsia" w:ascii="仿宋_GB2312" w:eastAsia="仿宋_GB2312"/>
          <w:sz w:val="31"/>
          <w:szCs w:val="31"/>
        </w:rPr>
        <w:t>。</w:t>
      </w:r>
    </w:p>
    <w:p>
      <w:pPr>
        <w:spacing w:line="570" w:lineRule="exact"/>
        <w:ind w:firstLine="622" w:firstLineChars="200"/>
        <w:rPr>
          <w:rFonts w:ascii="仿宋_GB2312" w:hAnsi="楷体" w:eastAsia="仿宋_GB2312" w:cs="仿宋_GB2312"/>
          <w:sz w:val="31"/>
          <w:szCs w:val="31"/>
        </w:rPr>
      </w:pPr>
      <w:r>
        <w:rPr>
          <w:rFonts w:ascii="楷体_GB2312" w:hAnsi="黑体" w:eastAsia="楷体_GB2312"/>
          <w:b/>
          <w:sz w:val="31"/>
          <w:szCs w:val="31"/>
        </w:rPr>
        <w:t>10.</w:t>
      </w:r>
      <w:r>
        <w:rPr>
          <w:rFonts w:hint="eastAsia" w:ascii="楷体_GB2312" w:hAnsi="黑体" w:eastAsia="楷体_GB2312"/>
          <w:b/>
          <w:sz w:val="31"/>
          <w:szCs w:val="31"/>
        </w:rPr>
        <w:t>搭建科技成果转化服务平台。</w:t>
      </w:r>
      <w:r>
        <w:rPr>
          <w:rFonts w:hint="eastAsia" w:ascii="仿宋_GB2312" w:eastAsia="仿宋_GB2312"/>
          <w:sz w:val="31"/>
          <w:szCs w:val="31"/>
        </w:rPr>
        <w:t>支持福州地区大学城建设科技成果转化服务、资源共享等平台，汇聚全省高校和科研机构技术成果，集聚各地、各行业发展需求，通过市场化运作，实现产业技术需求与项目成果的常态化精准对接，提升高校服务企业创新的针对性、有效性。引导高校和科研机构积极对接“知创中国”“知创福建”等线上线下知识产权一体化公共服务平台。</w:t>
      </w:r>
    </w:p>
    <w:p>
      <w:pPr>
        <w:spacing w:line="570" w:lineRule="exact"/>
        <w:ind w:firstLine="620" w:firstLineChars="200"/>
        <w:rPr>
          <w:rFonts w:ascii="黑体" w:hAnsi="黑体" w:eastAsia="黑体"/>
          <w:bCs/>
          <w:sz w:val="31"/>
          <w:szCs w:val="31"/>
        </w:rPr>
      </w:pPr>
      <w:r>
        <w:rPr>
          <w:rFonts w:hint="eastAsia" w:ascii="黑体" w:hAnsi="黑体" w:eastAsia="黑体"/>
          <w:bCs/>
          <w:sz w:val="31"/>
          <w:szCs w:val="31"/>
        </w:rPr>
        <w:t>四、深化科技成果转化及产业化体制机制</w:t>
      </w:r>
    </w:p>
    <w:p>
      <w:pPr>
        <w:spacing w:line="570" w:lineRule="exact"/>
        <w:ind w:firstLine="622" w:firstLineChars="200"/>
        <w:rPr>
          <w:rFonts w:ascii="仿宋_GB2312" w:eastAsia="仿宋_GB2312"/>
          <w:sz w:val="31"/>
          <w:szCs w:val="31"/>
        </w:rPr>
      </w:pPr>
      <w:r>
        <w:rPr>
          <w:rFonts w:ascii="楷体_GB2312" w:hAnsi="黑体" w:eastAsia="楷体_GB2312"/>
          <w:b/>
          <w:sz w:val="31"/>
          <w:szCs w:val="31"/>
        </w:rPr>
        <w:t>11.</w:t>
      </w:r>
      <w:r>
        <w:rPr>
          <w:rFonts w:hint="eastAsia" w:ascii="楷体_GB2312" w:hAnsi="黑体" w:eastAsia="楷体_GB2312"/>
          <w:b/>
          <w:sz w:val="31"/>
          <w:szCs w:val="31"/>
        </w:rPr>
        <w:t>构建政产学研新型协同创新机制。</w:t>
      </w:r>
      <w:r>
        <w:rPr>
          <w:rFonts w:hint="eastAsia" w:ascii="仿宋_GB2312" w:eastAsia="仿宋_GB2312"/>
          <w:sz w:val="31"/>
          <w:szCs w:val="31"/>
        </w:rPr>
        <w:t>推动高校和科研机构加强与各级政府部门、企事业单位合作，促进科技成果落地到市区县和企业，在同等条件下，优先支持政产学研合作的省级科研项目。鼓励市区县支持高校和科研机构与科技型企业在辖区内共建或设立具有独立法人资格的产业研发机构，成果转化成效显著的，引导支持申报省级新型研发机构并享受相应政策扶持。</w:t>
      </w:r>
    </w:p>
    <w:p>
      <w:pPr>
        <w:spacing w:line="570" w:lineRule="exact"/>
        <w:ind w:firstLine="622" w:firstLineChars="200"/>
        <w:rPr>
          <w:rFonts w:ascii="仿宋_GB2312" w:eastAsia="仿宋_GB2312"/>
          <w:sz w:val="31"/>
          <w:szCs w:val="31"/>
        </w:rPr>
      </w:pPr>
      <w:r>
        <w:rPr>
          <w:rFonts w:ascii="楷体_GB2312" w:hAnsi="黑体" w:eastAsia="楷体_GB2312"/>
          <w:b/>
          <w:sz w:val="31"/>
          <w:szCs w:val="31"/>
        </w:rPr>
        <w:t>12.</w:t>
      </w:r>
      <w:r>
        <w:rPr>
          <w:rFonts w:hint="eastAsia" w:ascii="楷体_GB2312" w:hAnsi="黑体" w:eastAsia="楷体_GB2312"/>
          <w:b/>
          <w:sz w:val="31"/>
          <w:szCs w:val="31"/>
        </w:rPr>
        <w:t>健全创新激励和保障机制。</w:t>
      </w:r>
      <w:r>
        <w:rPr>
          <w:rFonts w:hint="eastAsia" w:ascii="仿宋_GB2312" w:hAnsi="黑体" w:eastAsia="仿宋_GB2312"/>
          <w:bCs/>
          <w:sz w:val="31"/>
          <w:szCs w:val="31"/>
        </w:rPr>
        <w:t>指导高校和科研机构贯彻以增加知识价值为导向的分配政策，完善科研人员职务发明成果权益分享机制，把创新要素在价值创造中的贡献充分体现在分配过程中，构建充分体现知识、技术等创新要素价值的科技成果转化收益分配机制和奖励方案。</w:t>
      </w:r>
    </w:p>
    <w:p>
      <w:pPr>
        <w:spacing w:line="570" w:lineRule="exact"/>
        <w:ind w:firstLine="622" w:firstLineChars="200"/>
        <w:rPr>
          <w:rFonts w:ascii="仿宋_GB2312" w:hAnsi="楷体" w:eastAsia="仿宋_GB2312" w:cs="仿宋_GB2312"/>
          <w:sz w:val="31"/>
          <w:szCs w:val="31"/>
        </w:rPr>
      </w:pPr>
      <w:r>
        <w:rPr>
          <w:rFonts w:ascii="楷体_GB2312" w:hAnsi="黑体" w:eastAsia="楷体_GB2312"/>
          <w:b/>
          <w:sz w:val="31"/>
          <w:szCs w:val="31"/>
        </w:rPr>
        <w:t>13.</w:t>
      </w:r>
      <w:r>
        <w:rPr>
          <w:rFonts w:hint="eastAsia" w:ascii="楷体_GB2312" w:hAnsi="黑体" w:eastAsia="楷体_GB2312"/>
          <w:b/>
          <w:sz w:val="31"/>
          <w:szCs w:val="31"/>
        </w:rPr>
        <w:t>健全科技成果转化尽职免责机制。</w:t>
      </w:r>
      <w:r>
        <w:rPr>
          <w:rFonts w:hint="eastAsia" w:ascii="仿宋_GB2312" w:eastAsia="仿宋_GB2312"/>
          <w:sz w:val="31"/>
          <w:szCs w:val="31"/>
        </w:rPr>
        <w:t>指导高校和科研机构制定本单位科技成果转化尽职免责负面清单。通过技术交易市场挂牌交易、拍卖等方式确定科技成果价格，或者通过协议定价、第三方评估定价并按规定公示拟交易价格，单位负责人已履行勤勉尽责义务且没有牟取非法利益的，</w:t>
      </w:r>
      <w:r>
        <w:rPr>
          <w:rFonts w:hint="eastAsia" w:ascii="仿宋_GB2312" w:eastAsia="仿宋_GB2312"/>
          <w:bCs/>
          <w:sz w:val="31"/>
          <w:szCs w:val="31"/>
        </w:rPr>
        <w:t>免除单位负责人因科技成果转化后续价值变化产生的决策责任。</w:t>
      </w:r>
    </w:p>
    <w:p>
      <w:pPr>
        <w:spacing w:line="570" w:lineRule="exact"/>
        <w:ind w:firstLine="622" w:firstLineChars="200"/>
        <w:rPr>
          <w:rFonts w:ascii="仿宋_GB2312" w:eastAsia="仿宋_GB2312"/>
          <w:sz w:val="31"/>
          <w:szCs w:val="31"/>
        </w:rPr>
      </w:pPr>
      <w:r>
        <w:rPr>
          <w:rFonts w:ascii="楷体_GB2312" w:hAnsi="黑体" w:eastAsia="楷体_GB2312"/>
          <w:b/>
          <w:sz w:val="31"/>
          <w:szCs w:val="31"/>
        </w:rPr>
        <w:t>14.</w:t>
      </w:r>
      <w:r>
        <w:rPr>
          <w:rFonts w:hint="eastAsia" w:ascii="楷体_GB2312" w:hAnsi="黑体" w:eastAsia="楷体_GB2312"/>
          <w:b/>
          <w:sz w:val="31"/>
          <w:szCs w:val="31"/>
        </w:rPr>
        <w:t>强化需求导向的科技成果供给。</w:t>
      </w:r>
      <w:r>
        <w:rPr>
          <w:rFonts w:hint="eastAsia" w:ascii="仿宋_GB2312" w:eastAsia="仿宋_GB2312"/>
          <w:sz w:val="31"/>
          <w:szCs w:val="31"/>
        </w:rPr>
        <w:t>在应用类科技项目中明确科技成果转化任务，将科技成果转化和知识产权创造、运用作为立项、评估和验收的重要内容和依据。指导督促高校和科研机构建立以科技创新质量、贡献、绩效为导向的分类评价体系，把科技成果转化与产业化对经济社会发展的贡献，作为科研人员职务晋升、职称评审、绩效考核等的重要依据。对主要从事应用研究、技术开发、成果转化工作的科研人员，加大成果转化、技术推广、技术服务等评价指标的权重。在教学科研队伍中，专门设置社会服务与技术推广型岗位，鼓励专门人员从事科技成果转化和推广。</w:t>
      </w:r>
    </w:p>
    <w:p>
      <w:pPr>
        <w:pStyle w:val="2"/>
        <w:spacing w:after="0" w:line="540" w:lineRule="exact"/>
        <w:ind w:firstLine="31680"/>
        <w:rPr>
          <w:rFonts w:ascii="仿宋_GB2312" w:hAnsi="仿宋_GB2312" w:eastAsia="仿宋_GB2312" w:cs="仿宋_GB2312"/>
          <w:color w:val="000000"/>
          <w:sz w:val="32"/>
          <w:szCs w:val="32"/>
        </w:rPr>
      </w:pPr>
    </w:p>
    <w:p>
      <w:pPr>
        <w:pStyle w:val="2"/>
        <w:spacing w:after="0" w:line="540" w:lineRule="exact"/>
        <w:ind w:firstLine="31680"/>
        <w:rPr>
          <w:rFonts w:ascii="仿宋_GB2312" w:hAnsi="仿宋_GB2312" w:eastAsia="仿宋_GB2312" w:cs="仿宋_GB2312"/>
          <w:color w:val="000000"/>
          <w:sz w:val="32"/>
          <w:szCs w:val="32"/>
        </w:rPr>
      </w:pPr>
    </w:p>
    <w:p>
      <w:pPr>
        <w:pStyle w:val="2"/>
        <w:spacing w:after="0" w:line="20" w:lineRule="exact"/>
        <w:ind w:firstLine="0" w:firstLineChars="0"/>
      </w:pPr>
    </w:p>
    <w:sectPr>
      <w:footerReference r:id="rId5" w:type="default"/>
      <w:footerReference r:id="rId6" w:type="even"/>
      <w:pgSz w:w="11906" w:h="16838"/>
      <w:pgMar w:top="2098" w:right="1418" w:bottom="1588" w:left="1588" w:header="851" w:footer="1361" w:gutter="0"/>
      <w:cols w:space="0" w:num="1"/>
      <w:docGrid w:type="lines" w:linePitch="4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spacing w:line="240" w:lineRule="auto"/>
      <w:ind w:left="320" w:leftChars="100" w:right="320" w:rightChars="100"/>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w:t>
    </w:r>
    <w:r>
      <w:rPr>
        <w:rStyle w:val="11"/>
        <w:sz w:val="28"/>
        <w:szCs w:val="28"/>
      </w:rPr>
      <w:fldChar w:fldCharType="end"/>
    </w:r>
    <w:r>
      <w:rPr>
        <w:rStyle w:val="11"/>
        <w:sz w:val="28"/>
        <w:szCs w:val="28"/>
      </w:rPr>
      <w:t xml:space="preserve"> —</w:t>
    </w:r>
  </w:p>
  <w:p>
    <w:pPr>
      <w:pStyle w:val="6"/>
      <w:spacing w:line="240" w:lineRule="auto"/>
      <w:rPr>
        <w:rFonts w:ascii="仿宋_GB2312" w:eastAsia="仿宋_GB2312"/>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spacing w:line="240" w:lineRule="auto"/>
      <w:ind w:left="320" w:leftChars="100" w:right="320" w:rightChars="100"/>
      <w:rPr>
        <w:rStyle w:val="11"/>
        <w:sz w:val="28"/>
        <w:szCs w:val="28"/>
      </w:rPr>
    </w:pPr>
    <w:r>
      <w:rPr>
        <w:rStyle w:val="11"/>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2</w:t>
    </w:r>
    <w:r>
      <w:rPr>
        <w:rStyle w:val="11"/>
        <w:sz w:val="28"/>
        <w:szCs w:val="28"/>
      </w:rPr>
      <w:fldChar w:fldCharType="end"/>
    </w:r>
    <w:r>
      <w:rPr>
        <w:rStyle w:val="11"/>
        <w:sz w:val="28"/>
        <w:szCs w:val="28"/>
      </w:rPr>
      <w:t xml:space="preserve"> —</w:t>
    </w:r>
  </w:p>
  <w:p>
    <w:pPr>
      <w:pStyle w:val="6"/>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225"/>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73F"/>
    <w:rsid w:val="0002023D"/>
    <w:rsid w:val="0005134D"/>
    <w:rsid w:val="00083480"/>
    <w:rsid w:val="000968C7"/>
    <w:rsid w:val="000C19C7"/>
    <w:rsid w:val="000C2332"/>
    <w:rsid w:val="000E6E6A"/>
    <w:rsid w:val="000F48F6"/>
    <w:rsid w:val="001327DB"/>
    <w:rsid w:val="00172A27"/>
    <w:rsid w:val="001A4C53"/>
    <w:rsid w:val="001B1771"/>
    <w:rsid w:val="001D4AD4"/>
    <w:rsid w:val="001F70FC"/>
    <w:rsid w:val="002342A1"/>
    <w:rsid w:val="00270914"/>
    <w:rsid w:val="002A2FA0"/>
    <w:rsid w:val="002D5D99"/>
    <w:rsid w:val="00301EF2"/>
    <w:rsid w:val="00317736"/>
    <w:rsid w:val="003275F2"/>
    <w:rsid w:val="00335F4F"/>
    <w:rsid w:val="00357FA5"/>
    <w:rsid w:val="0037516E"/>
    <w:rsid w:val="00395EEC"/>
    <w:rsid w:val="003B1EF8"/>
    <w:rsid w:val="003B2A57"/>
    <w:rsid w:val="003D07D9"/>
    <w:rsid w:val="003F5D76"/>
    <w:rsid w:val="003F6C71"/>
    <w:rsid w:val="00434868"/>
    <w:rsid w:val="004525D7"/>
    <w:rsid w:val="00462366"/>
    <w:rsid w:val="00466D73"/>
    <w:rsid w:val="00471BD8"/>
    <w:rsid w:val="004725BF"/>
    <w:rsid w:val="00482355"/>
    <w:rsid w:val="004C2DB0"/>
    <w:rsid w:val="004E69F3"/>
    <w:rsid w:val="004E7228"/>
    <w:rsid w:val="004F0B29"/>
    <w:rsid w:val="004F6ECB"/>
    <w:rsid w:val="005030DF"/>
    <w:rsid w:val="00507958"/>
    <w:rsid w:val="0054269C"/>
    <w:rsid w:val="0055246E"/>
    <w:rsid w:val="005A435C"/>
    <w:rsid w:val="005C6B61"/>
    <w:rsid w:val="005F36E6"/>
    <w:rsid w:val="00606A2A"/>
    <w:rsid w:val="006224AD"/>
    <w:rsid w:val="0062438C"/>
    <w:rsid w:val="00673724"/>
    <w:rsid w:val="00677CA4"/>
    <w:rsid w:val="00692F0E"/>
    <w:rsid w:val="006D5DEF"/>
    <w:rsid w:val="00705E13"/>
    <w:rsid w:val="0071214E"/>
    <w:rsid w:val="00731B65"/>
    <w:rsid w:val="00734D61"/>
    <w:rsid w:val="0074076B"/>
    <w:rsid w:val="00766548"/>
    <w:rsid w:val="007955E0"/>
    <w:rsid w:val="007A092C"/>
    <w:rsid w:val="007A7781"/>
    <w:rsid w:val="007B3DDE"/>
    <w:rsid w:val="007D2666"/>
    <w:rsid w:val="007F30FD"/>
    <w:rsid w:val="008077E6"/>
    <w:rsid w:val="008214F1"/>
    <w:rsid w:val="00823BCF"/>
    <w:rsid w:val="00832A5B"/>
    <w:rsid w:val="008337E7"/>
    <w:rsid w:val="00843D58"/>
    <w:rsid w:val="00855A6B"/>
    <w:rsid w:val="00882131"/>
    <w:rsid w:val="008A365F"/>
    <w:rsid w:val="008B15FC"/>
    <w:rsid w:val="009061F4"/>
    <w:rsid w:val="0091088B"/>
    <w:rsid w:val="00911BF0"/>
    <w:rsid w:val="00912165"/>
    <w:rsid w:val="00914CD1"/>
    <w:rsid w:val="00931972"/>
    <w:rsid w:val="00956DC3"/>
    <w:rsid w:val="009A0F65"/>
    <w:rsid w:val="009D64DF"/>
    <w:rsid w:val="009E3A70"/>
    <w:rsid w:val="00A2672B"/>
    <w:rsid w:val="00A415AE"/>
    <w:rsid w:val="00A47341"/>
    <w:rsid w:val="00A60DA2"/>
    <w:rsid w:val="00AD2BF3"/>
    <w:rsid w:val="00AE58AD"/>
    <w:rsid w:val="00AE7F49"/>
    <w:rsid w:val="00B165C8"/>
    <w:rsid w:val="00B422AF"/>
    <w:rsid w:val="00B906F6"/>
    <w:rsid w:val="00BB751D"/>
    <w:rsid w:val="00BD0137"/>
    <w:rsid w:val="00BD21FA"/>
    <w:rsid w:val="00BF4500"/>
    <w:rsid w:val="00C2142C"/>
    <w:rsid w:val="00C34417"/>
    <w:rsid w:val="00CB09A5"/>
    <w:rsid w:val="00CB1420"/>
    <w:rsid w:val="00CC315B"/>
    <w:rsid w:val="00CD1466"/>
    <w:rsid w:val="00D1026F"/>
    <w:rsid w:val="00D22BE4"/>
    <w:rsid w:val="00D24013"/>
    <w:rsid w:val="00D308C9"/>
    <w:rsid w:val="00D37DED"/>
    <w:rsid w:val="00D76F8A"/>
    <w:rsid w:val="00DA5D3E"/>
    <w:rsid w:val="00DB02A7"/>
    <w:rsid w:val="00E011C3"/>
    <w:rsid w:val="00E06779"/>
    <w:rsid w:val="00E1211B"/>
    <w:rsid w:val="00E14ABA"/>
    <w:rsid w:val="00E643E5"/>
    <w:rsid w:val="00EA136C"/>
    <w:rsid w:val="00EA6A80"/>
    <w:rsid w:val="00EB14E9"/>
    <w:rsid w:val="00EB491C"/>
    <w:rsid w:val="00ED3181"/>
    <w:rsid w:val="00EF1B76"/>
    <w:rsid w:val="00F407ED"/>
    <w:rsid w:val="00F51E98"/>
    <w:rsid w:val="00F56C8C"/>
    <w:rsid w:val="00F84E8C"/>
    <w:rsid w:val="00F91A5C"/>
    <w:rsid w:val="00FB2FB9"/>
    <w:rsid w:val="00FB7411"/>
    <w:rsid w:val="00FC6B51"/>
    <w:rsid w:val="01782715"/>
    <w:rsid w:val="01926A56"/>
    <w:rsid w:val="01A978A2"/>
    <w:rsid w:val="01D64A58"/>
    <w:rsid w:val="029D38FF"/>
    <w:rsid w:val="02F61C82"/>
    <w:rsid w:val="033641BB"/>
    <w:rsid w:val="04050EE6"/>
    <w:rsid w:val="0472598F"/>
    <w:rsid w:val="04BD2105"/>
    <w:rsid w:val="04F462C1"/>
    <w:rsid w:val="05214ADF"/>
    <w:rsid w:val="056F6086"/>
    <w:rsid w:val="059054C5"/>
    <w:rsid w:val="063D0DE7"/>
    <w:rsid w:val="06715CE0"/>
    <w:rsid w:val="06A13CAD"/>
    <w:rsid w:val="07320F16"/>
    <w:rsid w:val="079678C5"/>
    <w:rsid w:val="079C5A25"/>
    <w:rsid w:val="07B424FC"/>
    <w:rsid w:val="07F50F53"/>
    <w:rsid w:val="080B0530"/>
    <w:rsid w:val="08173551"/>
    <w:rsid w:val="08564302"/>
    <w:rsid w:val="086F341A"/>
    <w:rsid w:val="08704810"/>
    <w:rsid w:val="098810BD"/>
    <w:rsid w:val="099E3244"/>
    <w:rsid w:val="09CC1927"/>
    <w:rsid w:val="0A0054B7"/>
    <w:rsid w:val="0A635707"/>
    <w:rsid w:val="0A8F00CC"/>
    <w:rsid w:val="0BC811D5"/>
    <w:rsid w:val="0C19287D"/>
    <w:rsid w:val="0CE44201"/>
    <w:rsid w:val="0D375184"/>
    <w:rsid w:val="0D6A5E81"/>
    <w:rsid w:val="0D854EB5"/>
    <w:rsid w:val="0DF642D7"/>
    <w:rsid w:val="0E8818B7"/>
    <w:rsid w:val="0F8E1D57"/>
    <w:rsid w:val="0FA00B48"/>
    <w:rsid w:val="0FD34DA3"/>
    <w:rsid w:val="10573473"/>
    <w:rsid w:val="10AD014D"/>
    <w:rsid w:val="10DB4068"/>
    <w:rsid w:val="112038A8"/>
    <w:rsid w:val="11890877"/>
    <w:rsid w:val="12157090"/>
    <w:rsid w:val="123305A3"/>
    <w:rsid w:val="12A54E63"/>
    <w:rsid w:val="142A51E2"/>
    <w:rsid w:val="15981F2B"/>
    <w:rsid w:val="16A326AB"/>
    <w:rsid w:val="16EC78D3"/>
    <w:rsid w:val="17B723C6"/>
    <w:rsid w:val="17ED075D"/>
    <w:rsid w:val="180C1A65"/>
    <w:rsid w:val="18F907BA"/>
    <w:rsid w:val="19350A6E"/>
    <w:rsid w:val="19781A39"/>
    <w:rsid w:val="1B5B3959"/>
    <w:rsid w:val="1BB21A94"/>
    <w:rsid w:val="1C1E4A52"/>
    <w:rsid w:val="1C8C5678"/>
    <w:rsid w:val="1D1B0329"/>
    <w:rsid w:val="1DC325F9"/>
    <w:rsid w:val="1E4B40C8"/>
    <w:rsid w:val="1EA64482"/>
    <w:rsid w:val="1EBF64A3"/>
    <w:rsid w:val="1FE07748"/>
    <w:rsid w:val="20854136"/>
    <w:rsid w:val="20FB3EE8"/>
    <w:rsid w:val="215775DE"/>
    <w:rsid w:val="22A97648"/>
    <w:rsid w:val="22DD0DD1"/>
    <w:rsid w:val="236B2310"/>
    <w:rsid w:val="240406D2"/>
    <w:rsid w:val="24284FFD"/>
    <w:rsid w:val="24564DB8"/>
    <w:rsid w:val="24782F8F"/>
    <w:rsid w:val="254D7AEA"/>
    <w:rsid w:val="25A91DF6"/>
    <w:rsid w:val="261B536B"/>
    <w:rsid w:val="264D5936"/>
    <w:rsid w:val="26911768"/>
    <w:rsid w:val="26D9235C"/>
    <w:rsid w:val="27587733"/>
    <w:rsid w:val="27FA6FAB"/>
    <w:rsid w:val="28F7022E"/>
    <w:rsid w:val="296561DD"/>
    <w:rsid w:val="29BD5569"/>
    <w:rsid w:val="29FD6A36"/>
    <w:rsid w:val="2A7D071D"/>
    <w:rsid w:val="2AF91CE8"/>
    <w:rsid w:val="2C0E7DC8"/>
    <w:rsid w:val="2CF57239"/>
    <w:rsid w:val="2D075110"/>
    <w:rsid w:val="2D822F3D"/>
    <w:rsid w:val="2DFB2F8A"/>
    <w:rsid w:val="2ED10D7E"/>
    <w:rsid w:val="2EE81922"/>
    <w:rsid w:val="2F365934"/>
    <w:rsid w:val="2FBC2EB4"/>
    <w:rsid w:val="2FE63B99"/>
    <w:rsid w:val="30530B9A"/>
    <w:rsid w:val="305620CD"/>
    <w:rsid w:val="306F6671"/>
    <w:rsid w:val="310D4B39"/>
    <w:rsid w:val="31665601"/>
    <w:rsid w:val="31A417E5"/>
    <w:rsid w:val="31AD2BCD"/>
    <w:rsid w:val="324A077F"/>
    <w:rsid w:val="33235C31"/>
    <w:rsid w:val="338E7025"/>
    <w:rsid w:val="33C70A96"/>
    <w:rsid w:val="340F7098"/>
    <w:rsid w:val="346E11EE"/>
    <w:rsid w:val="350156CB"/>
    <w:rsid w:val="358E781E"/>
    <w:rsid w:val="35DD76E0"/>
    <w:rsid w:val="360B5646"/>
    <w:rsid w:val="361B3E07"/>
    <w:rsid w:val="365248B1"/>
    <w:rsid w:val="367F73E6"/>
    <w:rsid w:val="388E1504"/>
    <w:rsid w:val="396479DA"/>
    <w:rsid w:val="39C06975"/>
    <w:rsid w:val="39F15F9A"/>
    <w:rsid w:val="3A176B43"/>
    <w:rsid w:val="3B1277CA"/>
    <w:rsid w:val="3B3D0505"/>
    <w:rsid w:val="3BA86E34"/>
    <w:rsid w:val="3BBB5D1E"/>
    <w:rsid w:val="3BCC1B98"/>
    <w:rsid w:val="3BF4609C"/>
    <w:rsid w:val="3DB33502"/>
    <w:rsid w:val="3E9202E1"/>
    <w:rsid w:val="3E956CDB"/>
    <w:rsid w:val="401C2C1D"/>
    <w:rsid w:val="40E275AF"/>
    <w:rsid w:val="41103A3B"/>
    <w:rsid w:val="414A15AA"/>
    <w:rsid w:val="416F22DC"/>
    <w:rsid w:val="417F2068"/>
    <w:rsid w:val="41D5492D"/>
    <w:rsid w:val="41E51590"/>
    <w:rsid w:val="43656488"/>
    <w:rsid w:val="4371731F"/>
    <w:rsid w:val="43BE2ECD"/>
    <w:rsid w:val="43EB1712"/>
    <w:rsid w:val="44A327A5"/>
    <w:rsid w:val="4559248D"/>
    <w:rsid w:val="46425D9E"/>
    <w:rsid w:val="46D979E4"/>
    <w:rsid w:val="478312AE"/>
    <w:rsid w:val="47890274"/>
    <w:rsid w:val="47CC4985"/>
    <w:rsid w:val="4838445D"/>
    <w:rsid w:val="488917EC"/>
    <w:rsid w:val="49187A83"/>
    <w:rsid w:val="495D5BDD"/>
    <w:rsid w:val="49A2005D"/>
    <w:rsid w:val="4A8B72FB"/>
    <w:rsid w:val="4AAA54C0"/>
    <w:rsid w:val="4AB67286"/>
    <w:rsid w:val="4AC11FB1"/>
    <w:rsid w:val="4AF15C84"/>
    <w:rsid w:val="4B3B1A06"/>
    <w:rsid w:val="4B8B1B91"/>
    <w:rsid w:val="4BA1529D"/>
    <w:rsid w:val="4C3F4E02"/>
    <w:rsid w:val="4C5544DC"/>
    <w:rsid w:val="4CC73183"/>
    <w:rsid w:val="4CF55BE1"/>
    <w:rsid w:val="4D9D6156"/>
    <w:rsid w:val="4DAA364C"/>
    <w:rsid w:val="4DB25F94"/>
    <w:rsid w:val="4E3759C6"/>
    <w:rsid w:val="4E476EB9"/>
    <w:rsid w:val="4F64580A"/>
    <w:rsid w:val="4FAB0668"/>
    <w:rsid w:val="4FEF0BDD"/>
    <w:rsid w:val="50A74C4E"/>
    <w:rsid w:val="51D512C2"/>
    <w:rsid w:val="51E12A27"/>
    <w:rsid w:val="526139BA"/>
    <w:rsid w:val="52893289"/>
    <w:rsid w:val="534200AC"/>
    <w:rsid w:val="53674420"/>
    <w:rsid w:val="536E394C"/>
    <w:rsid w:val="53F50A4F"/>
    <w:rsid w:val="54B07069"/>
    <w:rsid w:val="54B74326"/>
    <w:rsid w:val="550529AE"/>
    <w:rsid w:val="553B2C26"/>
    <w:rsid w:val="554B0369"/>
    <w:rsid w:val="5560178C"/>
    <w:rsid w:val="55FD7ADE"/>
    <w:rsid w:val="582C3B1D"/>
    <w:rsid w:val="591E6C37"/>
    <w:rsid w:val="59722518"/>
    <w:rsid w:val="59CE4336"/>
    <w:rsid w:val="59F4258F"/>
    <w:rsid w:val="5A0711F8"/>
    <w:rsid w:val="5A5F71F0"/>
    <w:rsid w:val="5B7A3114"/>
    <w:rsid w:val="5B7B7062"/>
    <w:rsid w:val="5BBF5ABF"/>
    <w:rsid w:val="5C1C0679"/>
    <w:rsid w:val="5C570F8E"/>
    <w:rsid w:val="5E6923E6"/>
    <w:rsid w:val="5E7645FB"/>
    <w:rsid w:val="5EE8503B"/>
    <w:rsid w:val="5F5F7E26"/>
    <w:rsid w:val="5F64595D"/>
    <w:rsid w:val="5FC663A9"/>
    <w:rsid w:val="600A29D3"/>
    <w:rsid w:val="60AB2133"/>
    <w:rsid w:val="611C7B9C"/>
    <w:rsid w:val="612475DF"/>
    <w:rsid w:val="61773602"/>
    <w:rsid w:val="6230509D"/>
    <w:rsid w:val="62D123B3"/>
    <w:rsid w:val="637F3E92"/>
    <w:rsid w:val="63860E62"/>
    <w:rsid w:val="63BB45A6"/>
    <w:rsid w:val="64991415"/>
    <w:rsid w:val="664D1C63"/>
    <w:rsid w:val="674C1BEA"/>
    <w:rsid w:val="6761087F"/>
    <w:rsid w:val="68021CF3"/>
    <w:rsid w:val="680D0AD4"/>
    <w:rsid w:val="68997A1A"/>
    <w:rsid w:val="69822852"/>
    <w:rsid w:val="69CF55F2"/>
    <w:rsid w:val="69E33D66"/>
    <w:rsid w:val="69EF6DF5"/>
    <w:rsid w:val="6A7B271B"/>
    <w:rsid w:val="6BEE70FE"/>
    <w:rsid w:val="6C4945F5"/>
    <w:rsid w:val="6CF70A12"/>
    <w:rsid w:val="6D160003"/>
    <w:rsid w:val="6D8755C1"/>
    <w:rsid w:val="6E2F13E3"/>
    <w:rsid w:val="6E98043F"/>
    <w:rsid w:val="6EB2515D"/>
    <w:rsid w:val="6FA26029"/>
    <w:rsid w:val="6FC3679E"/>
    <w:rsid w:val="6FDF3F53"/>
    <w:rsid w:val="701A1492"/>
    <w:rsid w:val="7086385D"/>
    <w:rsid w:val="71006DEE"/>
    <w:rsid w:val="71C12FCF"/>
    <w:rsid w:val="71D425E5"/>
    <w:rsid w:val="72BC2BAE"/>
    <w:rsid w:val="738428BD"/>
    <w:rsid w:val="73D25CA7"/>
    <w:rsid w:val="750D5161"/>
    <w:rsid w:val="754C2831"/>
    <w:rsid w:val="75751F98"/>
    <w:rsid w:val="763E3B5D"/>
    <w:rsid w:val="764D5D1B"/>
    <w:rsid w:val="76AF3264"/>
    <w:rsid w:val="76D8655D"/>
    <w:rsid w:val="77106DBE"/>
    <w:rsid w:val="78BD758F"/>
    <w:rsid w:val="78F6596B"/>
    <w:rsid w:val="79397553"/>
    <w:rsid w:val="797A1796"/>
    <w:rsid w:val="79B90EB9"/>
    <w:rsid w:val="7A290E0C"/>
    <w:rsid w:val="7A863C9D"/>
    <w:rsid w:val="7A867BE1"/>
    <w:rsid w:val="7AE162E6"/>
    <w:rsid w:val="7B0C2802"/>
    <w:rsid w:val="7B160248"/>
    <w:rsid w:val="7B4962C6"/>
    <w:rsid w:val="7C5D2B16"/>
    <w:rsid w:val="7CA15145"/>
    <w:rsid w:val="7D0B53BC"/>
    <w:rsid w:val="7D124A1C"/>
    <w:rsid w:val="7D527586"/>
    <w:rsid w:val="7D761366"/>
    <w:rsid w:val="7D877D46"/>
    <w:rsid w:val="7DD13283"/>
    <w:rsid w:val="7DF56388"/>
    <w:rsid w:val="7E1455D4"/>
    <w:rsid w:val="7EF37695"/>
    <w:rsid w:val="7F534AB5"/>
    <w:rsid w:val="7FA36A3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仿宋" w:hAnsi="仿宋" w:eastAsia="仿宋" w:cs="Times New Roman"/>
      <w:kern w:val="2"/>
      <w:sz w:val="32"/>
      <w:szCs w:val="24"/>
      <w:lang w:val="en-US" w:eastAsia="zh-CN" w:bidi="ar-SA"/>
    </w:rPr>
  </w:style>
  <w:style w:type="paragraph" w:styleId="4">
    <w:name w:val="heading 3"/>
    <w:basedOn w:val="1"/>
    <w:next w:val="1"/>
    <w:link w:val="13"/>
    <w:qFormat/>
    <w:uiPriority w:val="99"/>
    <w:pPr>
      <w:spacing w:beforeAutospacing="1" w:afterAutospacing="1"/>
      <w:jc w:val="left"/>
      <w:outlineLvl w:val="2"/>
    </w:pPr>
    <w:rPr>
      <w:rFonts w:ascii="宋体" w:hAnsi="宋体" w:eastAsia="宋体"/>
      <w:b/>
      <w:kern w:val="0"/>
      <w:sz w:val="27"/>
      <w:szCs w:val="27"/>
    </w:rPr>
  </w:style>
  <w:style w:type="character" w:default="1" w:styleId="10">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5"/>
    <w:qFormat/>
    <w:uiPriority w:val="99"/>
    <w:pPr>
      <w:ind w:firstLine="420" w:firstLineChars="100"/>
    </w:pPr>
    <w:rPr>
      <w:kern w:val="0"/>
      <w:sz w:val="20"/>
      <w:szCs w:val="20"/>
    </w:rPr>
  </w:style>
  <w:style w:type="paragraph" w:styleId="3">
    <w:name w:val="Body Text"/>
    <w:basedOn w:val="1"/>
    <w:link w:val="14"/>
    <w:qFormat/>
    <w:uiPriority w:val="99"/>
    <w:pPr>
      <w:spacing w:after="120"/>
    </w:pPr>
  </w:style>
  <w:style w:type="paragraph" w:styleId="5">
    <w:name w:val="Balloon Text"/>
    <w:basedOn w:val="1"/>
    <w:link w:val="16"/>
    <w:qFormat/>
    <w:uiPriority w:val="99"/>
    <w:pPr>
      <w:spacing w:line="240" w:lineRule="auto"/>
    </w:pPr>
    <w:rPr>
      <w:sz w:val="18"/>
      <w:szCs w:val="18"/>
    </w:rPr>
  </w:style>
  <w:style w:type="paragraph" w:styleId="6">
    <w:name w:val="footer"/>
    <w:basedOn w:val="1"/>
    <w:link w:val="17"/>
    <w:qFormat/>
    <w:uiPriority w:val="99"/>
    <w:pPr>
      <w:tabs>
        <w:tab w:val="center" w:pos="4153"/>
        <w:tab w:val="right" w:pos="8306"/>
      </w:tabs>
      <w:snapToGrid w:val="0"/>
      <w:jc w:val="left"/>
    </w:pPr>
    <w:rPr>
      <w:sz w:val="18"/>
    </w:rPr>
  </w:style>
  <w:style w:type="paragraph" w:styleId="7">
    <w:name w:val="header"/>
    <w:basedOn w:val="1"/>
    <w:link w:val="1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9">
    <w:name w:val="Table Grid"/>
    <w:basedOn w:val="8"/>
    <w:qFormat/>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locked/>
    <w:uiPriority w:val="99"/>
    <w:rPr>
      <w:rFonts w:cs="Times New Roman"/>
    </w:rPr>
  </w:style>
  <w:style w:type="character" w:styleId="12">
    <w:name w:val="Hyperlink"/>
    <w:basedOn w:val="10"/>
    <w:qFormat/>
    <w:uiPriority w:val="99"/>
    <w:rPr>
      <w:rFonts w:cs="Times New Roman"/>
      <w:color w:val="0000FF"/>
      <w:u w:val="single"/>
    </w:rPr>
  </w:style>
  <w:style w:type="character" w:customStyle="1" w:styleId="13">
    <w:name w:val="Heading 3 Char"/>
    <w:basedOn w:val="10"/>
    <w:link w:val="4"/>
    <w:semiHidden/>
    <w:qFormat/>
    <w:locked/>
    <w:uiPriority w:val="99"/>
    <w:rPr>
      <w:rFonts w:ascii="仿宋" w:hAnsi="仿宋" w:eastAsia="仿宋" w:cs="Times New Roman"/>
      <w:b/>
      <w:bCs/>
      <w:sz w:val="32"/>
      <w:szCs w:val="32"/>
    </w:rPr>
  </w:style>
  <w:style w:type="character" w:customStyle="1" w:styleId="14">
    <w:name w:val="Body Text Char"/>
    <w:basedOn w:val="10"/>
    <w:link w:val="3"/>
    <w:semiHidden/>
    <w:qFormat/>
    <w:locked/>
    <w:uiPriority w:val="99"/>
    <w:rPr>
      <w:rFonts w:ascii="仿宋" w:hAnsi="仿宋" w:eastAsia="仿宋" w:cs="Times New Roman"/>
      <w:sz w:val="24"/>
      <w:szCs w:val="24"/>
    </w:rPr>
  </w:style>
  <w:style w:type="character" w:customStyle="1" w:styleId="15">
    <w:name w:val="Body Text First Indent Char"/>
    <w:basedOn w:val="14"/>
    <w:link w:val="2"/>
    <w:semiHidden/>
    <w:qFormat/>
    <w:locked/>
    <w:uiPriority w:val="99"/>
  </w:style>
  <w:style w:type="character" w:customStyle="1" w:styleId="16">
    <w:name w:val="Balloon Text Char"/>
    <w:basedOn w:val="10"/>
    <w:link w:val="5"/>
    <w:qFormat/>
    <w:locked/>
    <w:uiPriority w:val="99"/>
    <w:rPr>
      <w:rFonts w:ascii="仿宋" w:hAnsi="仿宋" w:eastAsia="仿宋" w:cs="Times New Roman"/>
      <w:kern w:val="2"/>
      <w:sz w:val="18"/>
      <w:szCs w:val="18"/>
    </w:rPr>
  </w:style>
  <w:style w:type="character" w:customStyle="1" w:styleId="17">
    <w:name w:val="Footer Char"/>
    <w:basedOn w:val="10"/>
    <w:link w:val="6"/>
    <w:semiHidden/>
    <w:qFormat/>
    <w:locked/>
    <w:uiPriority w:val="99"/>
    <w:rPr>
      <w:rFonts w:ascii="仿宋" w:hAnsi="仿宋" w:eastAsia="仿宋" w:cs="Times New Roman"/>
      <w:sz w:val="18"/>
      <w:szCs w:val="18"/>
    </w:rPr>
  </w:style>
  <w:style w:type="character" w:customStyle="1" w:styleId="18">
    <w:name w:val="Header Char"/>
    <w:basedOn w:val="10"/>
    <w:link w:val="7"/>
    <w:semiHidden/>
    <w:qFormat/>
    <w:locked/>
    <w:uiPriority w:val="99"/>
    <w:rPr>
      <w:rFonts w:ascii="仿宋" w:hAnsi="仿宋" w:eastAsia="仿宋" w:cs="Times New Roman"/>
      <w:sz w:val="18"/>
      <w:szCs w:val="18"/>
    </w:rPr>
  </w:style>
  <w:style w:type="paragraph" w:customStyle="1" w:styleId="19">
    <w:name w:val="一级标题"/>
    <w:basedOn w:val="1"/>
    <w:qFormat/>
    <w:uiPriority w:val="99"/>
    <w:pPr>
      <w:ind w:left="200" w:leftChars="200"/>
      <w:jc w:val="left"/>
    </w:pPr>
    <w:rPr>
      <w:rFonts w:eastAsia="黑体"/>
    </w:rPr>
  </w:style>
  <w:style w:type="character" w:customStyle="1" w:styleId="20">
    <w:name w:val="二级标题 Char"/>
    <w:link w:val="21"/>
    <w:qFormat/>
    <w:locked/>
    <w:uiPriority w:val="99"/>
    <w:rPr>
      <w:rFonts w:eastAsia="楷体"/>
      <w:b/>
    </w:rPr>
  </w:style>
  <w:style w:type="paragraph" w:customStyle="1" w:styleId="21">
    <w:name w:val="二级标题"/>
    <w:basedOn w:val="1"/>
    <w:link w:val="20"/>
    <w:qFormat/>
    <w:uiPriority w:val="99"/>
    <w:pPr>
      <w:ind w:left="200" w:leftChars="200"/>
    </w:pPr>
    <w:rPr>
      <w:rFonts w:ascii="Calibri" w:hAnsi="Calibri" w:eastAsia="楷体"/>
      <w:b/>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8</Pages>
  <Words>552</Words>
  <Characters>3150</Characters>
  <Lines>0</Lines>
  <Paragraphs>0</Paragraphs>
  <TotalTime>3</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2021-05-11T02:32:00Z</dcterms:created>
  <dc:creator>吴舒伟</dc:creator>
  <cp:lastModifiedBy>user</cp:lastModifiedBy>
  <cp:lastPrinted>2021-04-21T01:24:00Z</cp:lastPrinted>
  <dcterms:modified xsi:type="dcterms:W3CDTF">2025-04-29T03:56:17Z</dcterms:modified>
  <dc:title>福建省教育厅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2D22CC30CB7848E1928AE923A43C0517</vt:lpwstr>
  </property>
</Properties>
</file>