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CESI黑体-GB13000" w:hAnsi="CESI黑体-GB13000" w:eastAsia="CESI黑体-GB13000" w:cs="CESI黑体-GB13000"/>
        </w:rPr>
      </w:pPr>
      <w:r>
        <w:rPr>
          <w:rFonts w:hint="eastAsia" w:ascii="黑体" w:hAnsi="黑体" w:eastAsia="黑体" w:cs="黑体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福建省高校课程思政示范课程建设标准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_GB2312" w:eastAsia="楷体_GB2312" w:cs="楷体_GB2312"/>
          <w:szCs w:val="44"/>
        </w:rPr>
      </w:pPr>
      <w:r>
        <w:rPr>
          <w:rFonts w:hint="eastAsia" w:ascii="楷体_GB2312" w:hAnsi="楷体_GB2312" w:eastAsia="楷体_GB2312" w:cs="楷体_GB2312"/>
          <w:szCs w:val="44"/>
        </w:rPr>
        <w:t>（试行）</w:t>
      </w:r>
    </w:p>
    <w:p>
      <w:pPr>
        <w:adjustRightInd w:val="0"/>
        <w:snapToGrid w:val="0"/>
        <w:spacing w:line="560" w:lineRule="exact"/>
        <w:ind w:firstLine="632" w:firstLineChars="200"/>
        <w:rPr>
          <w:rFonts w:hint="eastAsia" w:ascii="仿宋_GB2312" w:hAnsi="仿宋_GB2312" w:eastAsia="仿宋_GB2312" w:cs="仿宋_GB2312"/>
        </w:rPr>
      </w:pPr>
    </w:p>
    <w:tbl>
      <w:tblPr>
        <w:tblStyle w:val="5"/>
        <w:tblW w:w="884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1873"/>
        <w:gridCol w:w="52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atLeast"/>
          <w:tblHeader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一级指标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二级指标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指标内涵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5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课程资源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支撑度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课程团队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授课教师政治立场坚定，师德师风良好，思维新、视野广、自律严、人格正，注重为人师表。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课程负责人具有高级职称或博士学位，能够准确把握本课程开展课程思政建设的方向和重点，并融入课程教学全过程。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课程教学团队人员结构合理，任务分工明确，集体教研制度完善且有效实施，经常性开展课程思政建设教学研究和交流,课程思政建设整体水平高。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课程资源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课程已纳入人才培养方案或专业考试计划，实施学分管理，并至少经过两个学期或两个教学周期的建设和完善。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注重挖掘和开拓与本课程紧密相关的课程思政资源，形成丰富的课程思政资源库，把牢意识形态和价值取向，编写或选用高质量配套教材。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课程目标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达成度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教学目标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落实学生中心、产出导向、持续改进理念，结合本课程在专业人才培养方案中的功能定位，根据课程性质与特点、授课对象等，制定科学合理、有效支撑思政要求的课程教学目标。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达成评价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课程考核方式和评价办法完善，将课程思政元素充分融入过程性考核和结果性考核所涵盖的知识、能力与素质中。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教学模式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融合度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教学设计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课程准确把握“坚定学生理想信念，教育学生爱党、爱国、爱社会主义、爱人民、爱集体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主线，结合所在学科专业、所属课程类型的育人要求和特点，深入挖掘蕴含的思政教育元素，优化课程思政内容供给，科学设计教案课件。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教学方法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注重课程思政教学模式创新，推进课程思政与现代教育技术有机融合，采取启发式、研讨性、案例式、项目式等多种教学方式，帮助学生树立正确的世界观、人生观和价值观，教学方法体现先进性、互动性与针对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教学实施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能够结合学校办学定位和专业特色，注重价值引领、知识传授与能力培养相统一，综合运用第一课堂和第二课堂，将思政教育有机融入课程教学各环节，达到润物无声的育人效果，教学内容体现思想性、前沿性与时代性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6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学习效果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满意度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学生评教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育人效果显著，学生对教师师德师风评价高，学习满意度高，学生评教结果优秀。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9" w:hRule="atLeas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828" w:firstLineChars="3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同行评价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课程思政教学理念、方法、手段及实施效果显著，校内外同行专家评价良好。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3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示范推广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有效度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示范效应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形成可供同类课程借鉴共享的经验和模式，具有较好特色与优势，发挥了良好的示范辐射作用。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教学展示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授课教师在师德师风、教书育人、教学竞赛等方面获得荣誉或奖励，有较高水平的课程思政展示成果。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</w:rPr>
      </w:pPr>
      <w:r>
        <w:rPr>
          <w:rFonts w:ascii="仿宋_GB2312" w:hAnsi="仿宋_GB2312" w:eastAsia="仿宋_GB2312" w:cs="仿宋_GB2312"/>
        </w:rPr>
        <w:br w:type="page"/>
      </w:r>
      <w:r>
        <w:rPr>
          <w:rFonts w:hint="eastAsia" w:ascii="黑体" w:hAnsi="黑体" w:eastAsia="黑体" w:cs="黑体"/>
        </w:rPr>
        <w:t>附件2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福建省高校课程思政教学研究示范中心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建设标准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_GB2312" w:eastAsia="楷体_GB2312" w:cs="楷体_GB2312"/>
          <w:szCs w:val="44"/>
        </w:rPr>
      </w:pPr>
      <w:r>
        <w:rPr>
          <w:rFonts w:hint="eastAsia" w:ascii="楷体_GB2312" w:hAnsi="楷体_GB2312" w:eastAsia="楷体_GB2312" w:cs="楷体_GB2312"/>
          <w:szCs w:val="44"/>
        </w:rPr>
        <w:t>（试行）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</w:t>
      </w:r>
    </w:p>
    <w:tbl>
      <w:tblPr>
        <w:tblStyle w:val="5"/>
        <w:tblW w:w="9171" w:type="dxa"/>
        <w:jc w:val="center"/>
        <w:tblInd w:w="0" w:type="dxa"/>
        <w:tblBorders>
          <w:top w:val="single" w:color="A0A0A0" w:sz="4" w:space="0"/>
          <w:left w:val="single" w:color="A0A0A0" w:sz="4" w:space="0"/>
          <w:bottom w:val="single" w:color="A0A0A0" w:sz="4" w:space="0"/>
          <w:right w:val="single" w:color="A0A0A0" w:sz="4" w:space="0"/>
          <w:insideH w:val="outset" w:color="DDDDDD" w:sz="6" w:space="0"/>
          <w:insideV w:val="outset" w:color="DDDDDD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1419"/>
        <w:gridCol w:w="6172"/>
      </w:tblGrid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tblHeader/>
          <w:jc w:val="center"/>
        </w:trPr>
        <w:tc>
          <w:tcPr>
            <w:tcW w:w="1580" w:type="dxa"/>
            <w:tcBorders>
              <w:top w:val="outset" w:color="auto" w:sz="4" w:space="0"/>
              <w:left w:val="outset" w:color="auto" w:sz="4" w:space="0"/>
              <w:bottom w:val="single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一级指标</w:t>
            </w:r>
          </w:p>
        </w:tc>
        <w:tc>
          <w:tcPr>
            <w:tcW w:w="1419" w:type="dxa"/>
            <w:tcBorders>
              <w:top w:val="outset" w:color="auto" w:sz="4" w:space="0"/>
              <w:left w:val="single" w:color="0100FE" w:sz="0" w:space="0"/>
              <w:bottom w:val="single" w:color="auto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二级指标</w:t>
            </w:r>
          </w:p>
        </w:tc>
        <w:tc>
          <w:tcPr>
            <w:tcW w:w="6172" w:type="dxa"/>
            <w:tcBorders>
              <w:top w:val="outset" w:color="auto" w:sz="4" w:space="0"/>
              <w:left w:val="outset" w:color="auto" w:sz="4" w:space="0"/>
              <w:bottom w:val="single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bidi="ar"/>
              </w:rPr>
              <w:t>指标内涵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1580" w:type="dxa"/>
            <w:vMerge w:val="restart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建设规划</w:t>
            </w:r>
          </w:p>
        </w:tc>
        <w:tc>
          <w:tcPr>
            <w:tcW w:w="1419" w:type="dxa"/>
            <w:tcBorders>
              <w:top w:val="outset" w:color="auto" w:sz="4" w:space="0"/>
              <w:left w:val="single" w:color="0100FE" w:sz="0" w:space="0"/>
              <w:bottom w:val="outset" w:color="auto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发展定位</w:t>
            </w:r>
          </w:p>
        </w:tc>
        <w:tc>
          <w:tcPr>
            <w:tcW w:w="6172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聚焦课程思政教学实践和理论研究，发展定位准确，育人理念先进。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  <w:jc w:val="center"/>
        </w:trPr>
        <w:tc>
          <w:tcPr>
            <w:tcW w:w="1580" w:type="dxa"/>
            <w:vMerge w:val="continue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single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工作规划</w:t>
            </w:r>
          </w:p>
        </w:tc>
        <w:tc>
          <w:tcPr>
            <w:tcW w:w="6172" w:type="dxa"/>
            <w:tcBorders>
              <w:top w:val="single" w:color="0100FE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工作规划清晰，任务职责明确，运行机制完备，建设特色鲜明。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80" w:type="dxa"/>
            <w:vMerge w:val="restart"/>
            <w:tcBorders>
              <w:top w:val="single" w:color="0100FE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组织机构</w:t>
            </w: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机构设置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学校领导重视教学研究中心建设，有独立办公场所，专职工作人员，组织架构健全、分工明确。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top w:val="single" w:color="0100FE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人员配备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心负责人政治立场坚定，师德师风良好，对如何结合本校办学定位和专业特色开展课程思政建设有深刻理解，具有丰富的课程思政建设实践经验和理论研究成果。中心人员配备科学合理，具有相应的课程思政建设实践经验和理论研究基础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80" w:type="dxa"/>
            <w:vMerge w:val="restart"/>
            <w:tcBorders>
              <w:top w:val="single" w:color="0100FE" w:sz="0" w:space="0"/>
              <w:left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主要任务</w:t>
            </w: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课程教研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积极探索创新课程思政建设方法路径，形成具有推广价值的经验做法和高质量的研究成果，能够有效指导和有力推进学校、院系、教师不同层面的课程思政建设，并在校内外形成示范辐射效应。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课程指导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支持指导不同学科专业、不同类型课程、立足专业特色和课程育人特点开展课程思政建设，建成一批课程思政优质资源，建有宣传展示数字化平台，并开展推广共享。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教师培训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科学设置课程思政培训内容，实施全员培训制度，开展全方位、多样化、针对性的教师交流、观摩和培训活动，汇聚专业课和思政课教师合力，积极推动教师课程思政建设能力整体提高。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课程评价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探索建立课程思政建设质量评价体系和激励机制，推动学校将课程思政建设成效纳入院系、教师的绩效考核内容，不断提高教师开展课程思政建设的积极性主动性。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  <w:jc w:val="center"/>
        </w:trPr>
        <w:tc>
          <w:tcPr>
            <w:tcW w:w="1580" w:type="dxa"/>
            <w:vMerge w:val="restart"/>
            <w:tcBorders>
              <w:top w:val="single" w:color="0100FE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保障条件</w:t>
            </w: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经费投入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中心经费纳入学校预算体系，多渠道筹集教师培养培训经费，保证教师能够参加岗前培训、课程培训、实践研修、学术交流等。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  <w:jc w:val="center"/>
        </w:trPr>
        <w:tc>
          <w:tcPr>
            <w:tcW w:w="1580" w:type="dxa"/>
            <w:vMerge w:val="continue"/>
            <w:tcBorders>
              <w:top w:val="single" w:color="0100FE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硬件设备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示范中心有专用的办公和教学研究场所，有满足教研需要的现代化教学设备。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2" w:hRule="atLeast"/>
          <w:jc w:val="center"/>
        </w:trPr>
        <w:tc>
          <w:tcPr>
            <w:tcW w:w="1580" w:type="dxa"/>
            <w:vMerge w:val="continue"/>
            <w:tcBorders>
              <w:top w:val="single" w:color="0100FE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专职师资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专职队伍学科背景以马克思主义理论、教育学、心理学、政治学、教育技术学等学科为主，实践经验丰富。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1580" w:type="dxa"/>
            <w:vMerge w:val="continue"/>
            <w:tcBorders>
              <w:top w:val="single" w:color="0100FE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兼职队伍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鼓励支持院士、长江学者杰青、省级以上教学名师等与思政课教师组成的教研团队，协助开展课程思政教学研究工作。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80" w:type="dxa"/>
            <w:vMerge w:val="restart"/>
            <w:tcBorders>
              <w:top w:val="single" w:color="0100FE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建设成效</w:t>
            </w: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中心建设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探索具有本校特色的中心建设模式，实现研究中心运行机制和工作方式的科学化、规范化，加强中心管理人员培训学习。</w:t>
            </w:r>
          </w:p>
        </w:tc>
      </w:tr>
      <w:tr>
        <w:tblPrEx>
          <w:tblBorders>
            <w:top w:val="single" w:color="A0A0A0" w:sz="4" w:space="0"/>
            <w:left w:val="single" w:color="A0A0A0" w:sz="4" w:space="0"/>
            <w:bottom w:val="single" w:color="A0A0A0" w:sz="4" w:space="0"/>
            <w:right w:val="single" w:color="A0A0A0" w:sz="4" w:space="0"/>
            <w:insideH w:val="outset" w:color="DDDDDD" w:sz="6" w:space="0"/>
            <w:insideV w:val="outset" w:color="DDDDDD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80" w:type="dxa"/>
            <w:vMerge w:val="continue"/>
            <w:tcBorders>
              <w:top w:val="single" w:color="0100FE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影响效果</w:t>
            </w:r>
          </w:p>
        </w:tc>
        <w:tc>
          <w:tcPr>
            <w:tcW w:w="6172" w:type="dxa"/>
            <w:tcBorders>
              <w:top w:val="single" w:color="0100FE" w:sz="0" w:space="0"/>
              <w:left w:val="single" w:color="0100FE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before="0" w:beforeAutospacing="0" w:after="0" w:afterAutospacing="0" w:line="4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研究中心每年推出有一批优质课程思政样板课程，并有标志性成果。每年为省内高校提供师资培训、共享资源平台，并开放线上精品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思政课。与省内外课程思政教学研究中心，开展区域性协作。</w:t>
            </w:r>
          </w:p>
        </w:tc>
      </w:tr>
    </w:tbl>
    <w:p>
      <w:pPr>
        <w:spacing w:line="14" w:lineRule="exac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31" w:header="851" w:footer="1134" w:gutter="0"/>
      <w:pgNumType w:fmt="numberInDash" w:start="1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20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20" w:leftChars="100" w:right="320" w:rightChars="100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eastAsia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20" w:leftChars="100" w:right="320" w:rightChars="100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eastAsia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B64D6"/>
    <w:rsid w:val="020B64D6"/>
    <w:rsid w:val="3C21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2021-12-20T08:47:00Z</dcterms:created>
  <dc:creator>娟</dc:creator>
  <cp:lastModifiedBy>娟</cp:lastModifiedBy>
  <dcterms:modified xsi:type="dcterms:W3CDTF">2021-12-20T08:47:37Z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