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auto"/>
          <w:sz w:val="44"/>
          <w:szCs w:val="44"/>
          <w:highlight w:val="none"/>
          <w:u w:val="none"/>
        </w:rPr>
      </w:pPr>
      <w:r>
        <w:rPr>
          <w:rFonts w:hint="eastAsia" w:ascii="方正小标宋简体" w:hAnsi="方正小标宋简体" w:eastAsia="方正小标宋简体" w:cs="方正小标宋简体"/>
          <w:b w:val="0"/>
          <w:bCs/>
          <w:color w:val="auto"/>
          <w:sz w:val="44"/>
          <w:szCs w:val="44"/>
          <w:highlight w:val="none"/>
          <w:u w:val="none"/>
          <w:lang w:eastAsia="zh-CN"/>
        </w:rPr>
        <w:t>福建</w:t>
      </w:r>
      <w:r>
        <w:rPr>
          <w:rFonts w:hint="eastAsia" w:ascii="方正小标宋简体" w:hAnsi="方正小标宋简体" w:eastAsia="方正小标宋简体" w:cs="方正小标宋简体"/>
          <w:b w:val="0"/>
          <w:bCs/>
          <w:color w:val="auto"/>
          <w:sz w:val="44"/>
          <w:szCs w:val="44"/>
          <w:highlight w:val="none"/>
          <w:u w:val="none"/>
        </w:rPr>
        <w:t>省示范性幼儿园评估办法（</w:t>
      </w:r>
      <w:r>
        <w:rPr>
          <w:rFonts w:hint="eastAsia" w:ascii="方正小标宋简体" w:hAnsi="方正小标宋简体" w:eastAsia="方正小标宋简体" w:cs="方正小标宋简体"/>
          <w:b w:val="0"/>
          <w:bCs/>
          <w:color w:val="auto"/>
          <w:sz w:val="44"/>
          <w:szCs w:val="44"/>
          <w:highlight w:val="none"/>
          <w:u w:val="none"/>
          <w:lang w:eastAsia="zh-CN"/>
        </w:rPr>
        <w:t>修订</w:t>
      </w:r>
      <w:r>
        <w:rPr>
          <w:rFonts w:hint="eastAsia" w:ascii="方正小标宋简体" w:hAnsi="方正小标宋简体" w:eastAsia="方正小标宋简体" w:cs="方正小标宋简体"/>
          <w:b w:val="0"/>
          <w:bCs/>
          <w:color w:val="auto"/>
          <w:sz w:val="44"/>
          <w:szCs w:val="44"/>
          <w:highlight w:val="none"/>
          <w:u w:val="none"/>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olor w:val="auto"/>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为进一步完善</w:t>
      </w:r>
      <w:r>
        <w:rPr>
          <w:rFonts w:hint="eastAsia" w:ascii="仿宋_GB2312" w:hAnsi="仿宋_GB2312" w:eastAsia="仿宋_GB2312" w:cs="仿宋_GB2312"/>
          <w:color w:val="auto"/>
          <w:sz w:val="32"/>
          <w:szCs w:val="32"/>
          <w:highlight w:val="none"/>
          <w:u w:val="none"/>
          <w:lang w:eastAsia="zh-CN"/>
        </w:rPr>
        <w:t>我</w:t>
      </w:r>
      <w:r>
        <w:rPr>
          <w:rFonts w:hint="eastAsia" w:ascii="仿宋_GB2312" w:hAnsi="仿宋_GB2312" w:eastAsia="仿宋_GB2312" w:cs="仿宋_GB2312"/>
          <w:color w:val="auto"/>
          <w:sz w:val="32"/>
          <w:szCs w:val="32"/>
          <w:highlight w:val="none"/>
          <w:u w:val="none"/>
        </w:rPr>
        <w:t>省示范性幼儿园的建设和评估工作，充分发挥</w:t>
      </w:r>
      <w:r>
        <w:rPr>
          <w:rFonts w:hint="eastAsia" w:ascii="仿宋_GB2312" w:hAnsi="仿宋_GB2312" w:eastAsia="仿宋_GB2312" w:cs="仿宋_GB2312"/>
          <w:color w:val="auto"/>
          <w:sz w:val="32"/>
          <w:szCs w:val="32"/>
          <w:highlight w:val="none"/>
          <w:u w:val="none"/>
          <w:lang w:eastAsia="zh-CN"/>
        </w:rPr>
        <w:t>省级</w:t>
      </w:r>
      <w:r>
        <w:rPr>
          <w:rFonts w:hint="eastAsia" w:ascii="仿宋_GB2312" w:hAnsi="仿宋_GB2312" w:eastAsia="仿宋_GB2312" w:cs="仿宋_GB2312"/>
          <w:color w:val="auto"/>
          <w:sz w:val="32"/>
          <w:szCs w:val="32"/>
          <w:highlight w:val="none"/>
          <w:u w:val="none"/>
        </w:rPr>
        <w:t>示范性幼儿园辐射带动作用，扩大优质学前教育资源</w:t>
      </w:r>
      <w:r>
        <w:rPr>
          <w:rFonts w:hint="eastAsia" w:ascii="仿宋_GB2312" w:hAnsi="仿宋_GB2312" w:eastAsia="仿宋_GB2312" w:cs="仿宋_GB2312"/>
          <w:color w:val="auto"/>
          <w:sz w:val="32"/>
          <w:szCs w:val="32"/>
          <w:highlight w:val="none"/>
          <w:u w:val="none"/>
          <w:lang w:eastAsia="zh-CN"/>
        </w:rPr>
        <w:t>覆盖面</w:t>
      </w:r>
      <w:r>
        <w:rPr>
          <w:rFonts w:hint="eastAsia" w:ascii="仿宋_GB2312" w:hAnsi="仿宋_GB2312" w:eastAsia="仿宋_GB2312" w:cs="仿宋_GB2312"/>
          <w:color w:val="auto"/>
          <w:sz w:val="32"/>
          <w:szCs w:val="32"/>
          <w:highlight w:val="none"/>
          <w:u w:val="none"/>
        </w:rPr>
        <w:t>，推动我省学前教育事业的发展，特制订本办法。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一、指导思想和目的</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以习近平新时代中国特色社会主义思想为指导，全面贯彻党的教育方针，落实</w:t>
      </w:r>
      <w:r>
        <w:rPr>
          <w:rFonts w:hint="eastAsia" w:ascii="仿宋_GB2312" w:hAnsi="仿宋_GB2312" w:eastAsia="仿宋_GB2312" w:cs="仿宋_GB2312"/>
          <w:color w:val="auto"/>
          <w:sz w:val="32"/>
          <w:szCs w:val="32"/>
          <w:highlight w:val="none"/>
          <w:u w:val="none"/>
          <w:lang w:eastAsia="zh-CN"/>
        </w:rPr>
        <w:t>中共中央、国务院《关于学前教育深化改革规范发展的若干意见》《深化新时代教育评价改革总体方案》和《福建省学前教育深化改革规范发展的实施方案》精神要求，深入推进教育评价改革，不断完善</w:t>
      </w:r>
      <w:r>
        <w:rPr>
          <w:rFonts w:hint="eastAsia" w:ascii="仿宋_GB2312" w:hAnsi="仿宋_GB2312" w:eastAsia="仿宋_GB2312" w:cs="仿宋_GB2312"/>
          <w:color w:val="auto"/>
          <w:sz w:val="32"/>
          <w:szCs w:val="32"/>
          <w:highlight w:val="none"/>
          <w:u w:val="none"/>
        </w:rPr>
        <w:t>省</w:t>
      </w:r>
      <w:r>
        <w:rPr>
          <w:rFonts w:hint="eastAsia" w:ascii="仿宋_GB2312" w:hAnsi="仿宋_GB2312" w:eastAsia="仿宋_GB2312" w:cs="仿宋_GB2312"/>
          <w:color w:val="auto"/>
          <w:sz w:val="32"/>
          <w:szCs w:val="32"/>
          <w:highlight w:val="none"/>
          <w:u w:val="none"/>
          <w:lang w:eastAsia="zh-CN"/>
        </w:rPr>
        <w:t>级</w:t>
      </w:r>
      <w:r>
        <w:rPr>
          <w:rFonts w:hint="eastAsia" w:ascii="仿宋_GB2312" w:hAnsi="仿宋_GB2312" w:eastAsia="仿宋_GB2312" w:cs="仿宋_GB2312"/>
          <w:color w:val="auto"/>
          <w:sz w:val="32"/>
          <w:szCs w:val="32"/>
          <w:highlight w:val="none"/>
          <w:u w:val="none"/>
        </w:rPr>
        <w:t>示范性幼儿园</w:t>
      </w:r>
      <w:r>
        <w:rPr>
          <w:rFonts w:hint="eastAsia" w:ascii="仿宋_GB2312" w:hAnsi="仿宋_GB2312" w:eastAsia="仿宋_GB2312" w:cs="仿宋_GB2312"/>
          <w:color w:val="auto"/>
          <w:sz w:val="32"/>
          <w:szCs w:val="32"/>
          <w:highlight w:val="none"/>
          <w:u w:val="none"/>
          <w:lang w:eastAsia="zh-CN"/>
        </w:rPr>
        <w:t>建设与评估机制，树立科学评价导向，引导各地创新幼儿园发展体制机制，加强</w:t>
      </w:r>
      <w:r>
        <w:rPr>
          <w:rFonts w:hint="eastAsia" w:ascii="仿宋_GB2312" w:hAnsi="仿宋_GB2312" w:eastAsia="仿宋_GB2312" w:cs="仿宋_GB2312"/>
          <w:color w:val="auto"/>
          <w:sz w:val="32"/>
          <w:szCs w:val="32"/>
          <w:highlight w:val="none"/>
          <w:u w:val="none"/>
        </w:rPr>
        <w:t>省</w:t>
      </w:r>
      <w:r>
        <w:rPr>
          <w:rFonts w:hint="eastAsia" w:ascii="仿宋_GB2312" w:hAnsi="仿宋_GB2312" w:eastAsia="仿宋_GB2312" w:cs="仿宋_GB2312"/>
          <w:color w:val="auto"/>
          <w:sz w:val="32"/>
          <w:szCs w:val="32"/>
          <w:highlight w:val="none"/>
          <w:u w:val="none"/>
          <w:lang w:eastAsia="zh-CN"/>
        </w:rPr>
        <w:t>级</w:t>
      </w:r>
      <w:r>
        <w:rPr>
          <w:rFonts w:hint="eastAsia" w:ascii="仿宋_GB2312" w:hAnsi="仿宋_GB2312" w:eastAsia="仿宋_GB2312" w:cs="仿宋_GB2312"/>
          <w:color w:val="auto"/>
          <w:sz w:val="32"/>
          <w:szCs w:val="32"/>
          <w:highlight w:val="none"/>
          <w:u w:val="none"/>
        </w:rPr>
        <w:t>示范园建设管理，</w:t>
      </w:r>
      <w:r>
        <w:rPr>
          <w:rFonts w:hint="eastAsia" w:ascii="仿宋_GB2312" w:hAnsi="仿宋_GB2312" w:eastAsia="仿宋_GB2312" w:cs="仿宋_GB2312"/>
          <w:color w:val="auto"/>
          <w:sz w:val="32"/>
          <w:szCs w:val="32"/>
          <w:highlight w:val="none"/>
          <w:u w:val="none"/>
          <w:lang w:eastAsia="zh-CN"/>
        </w:rPr>
        <w:t>加大政策扶持，完善经费保障，强化队伍建设，指导促进幼儿园</w:t>
      </w:r>
      <w:r>
        <w:rPr>
          <w:rFonts w:hint="eastAsia" w:ascii="仿宋_GB2312" w:hAnsi="仿宋_GB2312" w:eastAsia="仿宋_GB2312" w:cs="仿宋_GB2312"/>
          <w:color w:val="auto"/>
          <w:sz w:val="32"/>
          <w:szCs w:val="32"/>
          <w:highlight w:val="none"/>
          <w:u w:val="none"/>
        </w:rPr>
        <w:t>明确办园指导思想，规范办园行为，深化</w:t>
      </w:r>
      <w:r>
        <w:rPr>
          <w:rFonts w:hint="eastAsia" w:ascii="仿宋_GB2312" w:hAnsi="仿宋_GB2312" w:eastAsia="仿宋_GB2312" w:cs="仿宋_GB2312"/>
          <w:color w:val="auto"/>
          <w:sz w:val="32"/>
          <w:szCs w:val="32"/>
          <w:highlight w:val="none"/>
          <w:u w:val="none"/>
          <w:lang w:eastAsia="zh-CN"/>
        </w:rPr>
        <w:t>保教</w:t>
      </w:r>
      <w:r>
        <w:rPr>
          <w:rFonts w:hint="eastAsia" w:ascii="仿宋_GB2312" w:hAnsi="仿宋_GB2312" w:eastAsia="仿宋_GB2312" w:cs="仿宋_GB2312"/>
          <w:color w:val="auto"/>
          <w:sz w:val="32"/>
          <w:szCs w:val="32"/>
          <w:highlight w:val="none"/>
          <w:u w:val="none"/>
        </w:rPr>
        <w:t>改革，提高</w:t>
      </w:r>
      <w:r>
        <w:rPr>
          <w:rFonts w:hint="eastAsia" w:ascii="仿宋_GB2312" w:hAnsi="仿宋_GB2312" w:eastAsia="仿宋_GB2312" w:cs="仿宋_GB2312"/>
          <w:color w:val="auto"/>
          <w:sz w:val="32"/>
          <w:szCs w:val="32"/>
          <w:highlight w:val="none"/>
          <w:u w:val="none"/>
          <w:lang w:eastAsia="zh-CN"/>
        </w:rPr>
        <w:t>办学水平，充分</w:t>
      </w:r>
      <w:r>
        <w:rPr>
          <w:rFonts w:hint="eastAsia" w:ascii="仿宋_GB2312" w:hAnsi="仿宋_GB2312" w:eastAsia="仿宋_GB2312" w:cs="仿宋_GB2312"/>
          <w:color w:val="auto"/>
          <w:sz w:val="32"/>
          <w:szCs w:val="32"/>
          <w:highlight w:val="none"/>
          <w:u w:val="none"/>
        </w:rPr>
        <w:t>发挥示范</w:t>
      </w:r>
      <w:r>
        <w:rPr>
          <w:rFonts w:hint="eastAsia" w:ascii="仿宋_GB2312" w:hAnsi="仿宋_GB2312" w:eastAsia="仿宋_GB2312" w:cs="仿宋_GB2312"/>
          <w:color w:val="auto"/>
          <w:sz w:val="32"/>
          <w:szCs w:val="32"/>
          <w:highlight w:val="none"/>
          <w:u w:val="none"/>
          <w:lang w:eastAsia="zh-CN"/>
        </w:rPr>
        <w:t>带动</w:t>
      </w:r>
      <w:r>
        <w:rPr>
          <w:rFonts w:hint="eastAsia" w:ascii="仿宋_GB2312" w:hAnsi="仿宋_GB2312" w:eastAsia="仿宋_GB2312" w:cs="仿宋_GB2312"/>
          <w:color w:val="auto"/>
          <w:sz w:val="32"/>
          <w:szCs w:val="32"/>
          <w:highlight w:val="none"/>
          <w:u w:val="none"/>
        </w:rPr>
        <w:t>作用，引领</w:t>
      </w:r>
      <w:r>
        <w:rPr>
          <w:rFonts w:hint="eastAsia" w:ascii="仿宋_GB2312" w:hAnsi="仿宋_GB2312" w:eastAsia="仿宋_GB2312" w:cs="仿宋_GB2312"/>
          <w:color w:val="auto"/>
          <w:sz w:val="32"/>
          <w:szCs w:val="32"/>
          <w:highlight w:val="none"/>
          <w:u w:val="none"/>
          <w:lang w:eastAsia="zh-CN"/>
        </w:rPr>
        <w:t>区域幼儿园质量整体提升，不断满足人民群众对优质学前教育的需求。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二、基本原则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eastAsia="zh-CN"/>
        </w:rPr>
        <w:t>（一）坚持</w:t>
      </w:r>
      <w:r>
        <w:rPr>
          <w:rFonts w:hint="eastAsia" w:ascii="楷体_GB2312" w:hAnsi="楷体_GB2312" w:eastAsia="楷体_GB2312" w:cs="楷体_GB2312"/>
          <w:b/>
          <w:bCs/>
          <w:color w:val="auto"/>
          <w:sz w:val="32"/>
          <w:szCs w:val="32"/>
          <w:highlight w:val="none"/>
          <w:u w:val="none"/>
        </w:rPr>
        <w:t>以评促建。</w:t>
      </w:r>
      <w:r>
        <w:rPr>
          <w:rFonts w:hint="eastAsia" w:ascii="仿宋_GB2312" w:hAnsi="仿宋_GB2312" w:eastAsia="仿宋_GB2312" w:cs="仿宋_GB2312"/>
          <w:color w:val="auto"/>
          <w:sz w:val="32"/>
          <w:szCs w:val="32"/>
          <w:highlight w:val="none"/>
          <w:u w:val="none"/>
          <w:lang w:eastAsia="zh-CN"/>
        </w:rPr>
        <w:t>根据学前教育改革发展需要以及幼儿园发展规律制定评估指标体系，既关注幼儿园现有的办园水平和保教质量，又注重引导幼儿园通过发展规划制订、管理制度创新、教师队伍建设、课程游戏化实施、科学教育评价探索等方面的改革，不断改进幼儿园工作，在创建中不断确立新的发展目标，使示范性幼儿园创建成为促进幼儿园自我发展、自我完善的过程，推动幼儿园可持续发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eastAsia="zh-CN"/>
        </w:rPr>
        <w:t>（二）坚持示范引领。</w:t>
      </w:r>
      <w:r>
        <w:rPr>
          <w:rFonts w:hint="eastAsia" w:ascii="仿宋_GB2312" w:hAnsi="仿宋_GB2312" w:eastAsia="仿宋_GB2312" w:cs="仿宋_GB2312"/>
          <w:color w:val="auto"/>
          <w:sz w:val="32"/>
          <w:szCs w:val="32"/>
          <w:highlight w:val="none"/>
          <w:u w:val="none"/>
          <w:lang w:eastAsia="zh-CN"/>
        </w:rPr>
        <w:t>引导幼儿园</w:t>
      </w:r>
      <w:r>
        <w:rPr>
          <w:rFonts w:hint="eastAsia" w:ascii="仿宋_GB2312" w:hAnsi="仿宋_GB2312" w:eastAsia="仿宋_GB2312" w:cs="仿宋_GB2312"/>
          <w:color w:val="auto"/>
          <w:sz w:val="32"/>
          <w:szCs w:val="32"/>
          <w:highlight w:val="none"/>
          <w:u w:val="none"/>
        </w:rPr>
        <w:t>加强自身建设与管理，不断提高管理水平和保教质量，充分关注幼儿园在贯彻执行党的教育方针及学前教育相关法规、落实《3-6岁儿童学习与发展指南》和《幼儿园工作规程》</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传播</w:t>
      </w:r>
      <w:r>
        <w:rPr>
          <w:rFonts w:hint="eastAsia" w:ascii="仿宋_GB2312" w:hAnsi="仿宋_GB2312" w:eastAsia="仿宋_GB2312" w:cs="仿宋_GB2312"/>
          <w:color w:val="auto"/>
          <w:sz w:val="32"/>
          <w:szCs w:val="32"/>
          <w:highlight w:val="none"/>
          <w:u w:val="none"/>
          <w:lang w:eastAsia="zh-CN"/>
        </w:rPr>
        <w:t>科学教育</w:t>
      </w:r>
      <w:r>
        <w:rPr>
          <w:rFonts w:hint="eastAsia" w:ascii="仿宋_GB2312" w:hAnsi="仿宋_GB2312" w:eastAsia="仿宋_GB2312" w:cs="仿宋_GB2312"/>
          <w:color w:val="auto"/>
          <w:sz w:val="32"/>
          <w:szCs w:val="32"/>
          <w:highlight w:val="none"/>
          <w:u w:val="none"/>
        </w:rPr>
        <w:t>理念、规范办园行为、</w:t>
      </w:r>
      <w:r>
        <w:rPr>
          <w:rFonts w:hint="eastAsia" w:ascii="仿宋_GB2312" w:hAnsi="仿宋_GB2312" w:eastAsia="仿宋_GB2312" w:cs="仿宋_GB2312"/>
          <w:color w:val="auto"/>
          <w:sz w:val="32"/>
          <w:szCs w:val="32"/>
          <w:highlight w:val="none"/>
          <w:u w:val="none"/>
          <w:lang w:eastAsia="zh-CN"/>
        </w:rPr>
        <w:t>推进保教改革</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加强</w:t>
      </w:r>
      <w:r>
        <w:rPr>
          <w:rFonts w:hint="eastAsia" w:ascii="仿宋_GB2312" w:hAnsi="仿宋_GB2312" w:eastAsia="仿宋_GB2312" w:cs="仿宋_GB2312"/>
          <w:color w:val="auto"/>
          <w:sz w:val="32"/>
          <w:szCs w:val="32"/>
          <w:highlight w:val="none"/>
          <w:u w:val="none"/>
        </w:rPr>
        <w:t>师资队伍建设</w:t>
      </w:r>
      <w:r>
        <w:rPr>
          <w:rFonts w:hint="eastAsia" w:ascii="仿宋_GB2312" w:hAnsi="仿宋_GB2312" w:eastAsia="仿宋_GB2312" w:cs="仿宋_GB2312"/>
          <w:color w:val="auto"/>
          <w:sz w:val="32"/>
          <w:szCs w:val="32"/>
          <w:highlight w:val="none"/>
          <w:u w:val="none"/>
          <w:lang w:eastAsia="zh-CN"/>
        </w:rPr>
        <w:t>、开展帮扶工作</w:t>
      </w:r>
      <w:r>
        <w:rPr>
          <w:rFonts w:hint="eastAsia" w:ascii="仿宋_GB2312" w:hAnsi="仿宋_GB2312" w:eastAsia="仿宋_GB2312" w:cs="仿宋_GB2312"/>
          <w:color w:val="auto"/>
          <w:sz w:val="32"/>
          <w:szCs w:val="32"/>
          <w:highlight w:val="none"/>
          <w:u w:val="none"/>
        </w:rPr>
        <w:t>以及</w:t>
      </w:r>
      <w:r>
        <w:rPr>
          <w:rFonts w:hint="eastAsia" w:ascii="仿宋_GB2312" w:hAnsi="仿宋_GB2312" w:eastAsia="仿宋_GB2312" w:cs="仿宋_GB2312"/>
          <w:color w:val="auto"/>
          <w:sz w:val="32"/>
          <w:szCs w:val="32"/>
          <w:highlight w:val="none"/>
          <w:u w:val="none"/>
          <w:lang w:eastAsia="zh-CN"/>
        </w:rPr>
        <w:t>促进</w:t>
      </w:r>
      <w:r>
        <w:rPr>
          <w:rFonts w:hint="eastAsia" w:ascii="仿宋_GB2312" w:hAnsi="仿宋_GB2312" w:eastAsia="仿宋_GB2312" w:cs="仿宋_GB2312"/>
          <w:color w:val="auto"/>
          <w:sz w:val="32"/>
          <w:szCs w:val="32"/>
          <w:highlight w:val="none"/>
          <w:u w:val="none"/>
        </w:rPr>
        <w:t>家</w:t>
      </w:r>
      <w:r>
        <w:rPr>
          <w:rFonts w:hint="eastAsia" w:ascii="仿宋_GB2312" w:hAnsi="仿宋_GB2312" w:eastAsia="仿宋_GB2312" w:cs="仿宋_GB2312"/>
          <w:color w:val="auto"/>
          <w:sz w:val="32"/>
          <w:szCs w:val="32"/>
          <w:highlight w:val="none"/>
          <w:u w:val="none"/>
          <w:lang w:eastAsia="zh-CN"/>
        </w:rPr>
        <w:t>园共育</w:t>
      </w:r>
      <w:r>
        <w:rPr>
          <w:rFonts w:hint="eastAsia" w:ascii="仿宋_GB2312" w:hAnsi="仿宋_GB2312" w:eastAsia="仿宋_GB2312" w:cs="仿宋_GB2312"/>
          <w:color w:val="auto"/>
          <w:sz w:val="32"/>
          <w:szCs w:val="32"/>
          <w:highlight w:val="none"/>
          <w:u w:val="none"/>
        </w:rPr>
        <w:t>等方面的示范</w:t>
      </w:r>
      <w:r>
        <w:rPr>
          <w:rFonts w:hint="eastAsia" w:ascii="仿宋_GB2312" w:hAnsi="仿宋_GB2312" w:eastAsia="仿宋_GB2312" w:cs="仿宋_GB2312"/>
          <w:color w:val="auto"/>
          <w:sz w:val="32"/>
          <w:szCs w:val="32"/>
          <w:highlight w:val="none"/>
          <w:u w:val="none"/>
          <w:lang w:eastAsia="zh-CN"/>
        </w:rPr>
        <w:t>引领</w:t>
      </w:r>
      <w:r>
        <w:rPr>
          <w:rFonts w:hint="eastAsia" w:ascii="仿宋_GB2312" w:hAnsi="仿宋_GB2312" w:eastAsia="仿宋_GB2312" w:cs="仿宋_GB2312"/>
          <w:color w:val="auto"/>
          <w:sz w:val="32"/>
          <w:szCs w:val="32"/>
          <w:highlight w:val="none"/>
          <w:u w:val="none"/>
        </w:rPr>
        <w:t>作用，</w:t>
      </w:r>
      <w:r>
        <w:rPr>
          <w:rFonts w:hint="eastAsia" w:ascii="仿宋_GB2312" w:hAnsi="仿宋_GB2312" w:eastAsia="仿宋_GB2312" w:cs="仿宋_GB2312"/>
          <w:color w:val="auto"/>
          <w:sz w:val="32"/>
          <w:szCs w:val="32"/>
          <w:highlight w:val="none"/>
          <w:u w:val="none"/>
          <w:lang w:eastAsia="zh-CN"/>
        </w:rPr>
        <w:t>带动片区</w:t>
      </w:r>
      <w:r>
        <w:rPr>
          <w:rFonts w:hint="eastAsia" w:ascii="仿宋_GB2312" w:hAnsi="仿宋_GB2312" w:eastAsia="仿宋_GB2312" w:cs="仿宋_GB2312"/>
          <w:color w:val="auto"/>
          <w:sz w:val="32"/>
          <w:szCs w:val="32"/>
          <w:highlight w:val="none"/>
          <w:u w:val="none"/>
        </w:rPr>
        <w:t>内学前教育</w:t>
      </w:r>
      <w:r>
        <w:rPr>
          <w:rFonts w:hint="eastAsia" w:ascii="仿宋_GB2312" w:hAnsi="仿宋_GB2312" w:eastAsia="仿宋_GB2312" w:cs="仿宋_GB2312"/>
          <w:color w:val="auto"/>
          <w:sz w:val="32"/>
          <w:szCs w:val="32"/>
          <w:highlight w:val="none"/>
          <w:u w:val="none"/>
          <w:lang w:eastAsia="zh-CN"/>
        </w:rPr>
        <w:t>同步</w:t>
      </w:r>
      <w:r>
        <w:rPr>
          <w:rFonts w:hint="eastAsia" w:ascii="仿宋_GB2312" w:hAnsi="仿宋_GB2312" w:eastAsia="仿宋_GB2312" w:cs="仿宋_GB2312"/>
          <w:color w:val="auto"/>
          <w:sz w:val="32"/>
          <w:szCs w:val="32"/>
          <w:highlight w:val="none"/>
          <w:u w:val="none"/>
        </w:rPr>
        <w:t>发展</w:t>
      </w:r>
      <w:r>
        <w:rPr>
          <w:rFonts w:hint="eastAsia" w:ascii="仿宋_GB2312" w:hAnsi="仿宋_GB2312" w:eastAsia="仿宋_GB2312" w:cs="仿宋_GB2312"/>
          <w:color w:val="auto"/>
          <w:sz w:val="32"/>
          <w:szCs w:val="32"/>
          <w:highlight w:val="none"/>
          <w:u w:val="none"/>
          <w:lang w:eastAsia="zh-CN"/>
        </w:rPr>
        <w:t>，激励更多的幼儿园积极参与示范幼儿园的创建。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eastAsia="zh-CN"/>
        </w:rPr>
        <w:t>（三）</w:t>
      </w:r>
      <w:r>
        <w:rPr>
          <w:rFonts w:hint="eastAsia" w:ascii="楷体_GB2312" w:hAnsi="楷体_GB2312" w:eastAsia="楷体_GB2312" w:cs="楷体_GB2312"/>
          <w:b/>
          <w:bCs/>
          <w:color w:val="auto"/>
          <w:sz w:val="32"/>
          <w:szCs w:val="32"/>
          <w:highlight w:val="none"/>
          <w:u w:val="none"/>
          <w:lang w:val="en-US" w:eastAsia="zh-CN"/>
        </w:rPr>
        <w:t>坚</w:t>
      </w:r>
      <w:r>
        <w:rPr>
          <w:rFonts w:hint="eastAsia" w:ascii="楷体_GB2312" w:hAnsi="楷体_GB2312" w:eastAsia="楷体_GB2312" w:cs="楷体_GB2312"/>
          <w:b/>
          <w:bCs/>
          <w:color w:val="auto"/>
          <w:sz w:val="32"/>
          <w:szCs w:val="32"/>
          <w:highlight w:val="none"/>
          <w:u w:val="none"/>
          <w:lang w:eastAsia="zh-CN"/>
        </w:rPr>
        <w:t>持务实求效。</w:t>
      </w:r>
      <w:r>
        <w:rPr>
          <w:rFonts w:hint="eastAsia" w:ascii="仿宋_GB2312" w:hAnsi="仿宋_GB2312" w:eastAsia="仿宋_GB2312" w:cs="仿宋_GB2312"/>
          <w:color w:val="auto"/>
          <w:sz w:val="32"/>
          <w:szCs w:val="32"/>
          <w:highlight w:val="none"/>
          <w:u w:val="none"/>
        </w:rPr>
        <w:t>既要重视增加投入、改善办园条件，又要重视幼儿园建设的成本效益，以满足办园的实际需要为原则，在园舍、场地、设备等硬件配置上，做到经济、实用、安全、高效，避免脱离当地经济和社会发展实际，盲目追求豪华建设，浪费教育资源。坚决防止</w:t>
      </w:r>
      <w:r>
        <w:rPr>
          <w:rFonts w:hint="eastAsia" w:ascii="仿宋_GB2312" w:hAnsi="仿宋_GB2312" w:eastAsia="仿宋_GB2312" w:cs="仿宋_GB2312"/>
          <w:color w:val="auto"/>
          <w:sz w:val="32"/>
          <w:szCs w:val="32"/>
          <w:highlight w:val="none"/>
          <w:u w:val="none"/>
          <w:lang w:eastAsia="zh-CN"/>
        </w:rPr>
        <w:t>“超大园额”、“超大班额”</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小学化</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等不规范办园行为，</w:t>
      </w:r>
      <w:r>
        <w:rPr>
          <w:rFonts w:hint="eastAsia" w:ascii="仿宋_GB2312" w:hAnsi="仿宋_GB2312" w:eastAsia="仿宋_GB2312" w:cs="仿宋_GB2312"/>
          <w:color w:val="auto"/>
          <w:sz w:val="32"/>
          <w:szCs w:val="32"/>
          <w:highlight w:val="none"/>
          <w:u w:val="none"/>
          <w:lang w:eastAsia="zh-CN"/>
        </w:rPr>
        <w:t>评估工作强调专家深入幼儿园管理现场和保教现场，多深入办学一线了解实际情况，少看纸质材料，切实减轻幼儿园不必要的负担，同时</w:t>
      </w:r>
      <w:r>
        <w:rPr>
          <w:rFonts w:hint="eastAsia" w:ascii="仿宋_GB2312" w:hAnsi="仿宋_GB2312" w:eastAsia="仿宋_GB2312" w:cs="仿宋_GB2312"/>
          <w:color w:val="auto"/>
          <w:sz w:val="32"/>
          <w:szCs w:val="32"/>
          <w:highlight w:val="none"/>
          <w:u w:val="none"/>
        </w:rPr>
        <w:t>引导幼儿园遵循幼儿身心发展特点和规律，</w:t>
      </w:r>
      <w:r>
        <w:rPr>
          <w:rFonts w:hint="eastAsia" w:ascii="仿宋_GB2312" w:hAnsi="仿宋_GB2312" w:eastAsia="仿宋_GB2312" w:cs="仿宋_GB2312"/>
          <w:color w:val="auto"/>
          <w:sz w:val="32"/>
          <w:szCs w:val="32"/>
          <w:highlight w:val="none"/>
          <w:u w:val="none"/>
          <w:lang w:eastAsia="zh-CN"/>
        </w:rPr>
        <w:t>回归内涵建设，重视</w:t>
      </w:r>
      <w:r>
        <w:rPr>
          <w:rFonts w:hint="eastAsia" w:ascii="仿宋_GB2312" w:hAnsi="仿宋_GB2312" w:eastAsia="仿宋_GB2312" w:cs="仿宋_GB2312"/>
          <w:color w:val="auto"/>
          <w:sz w:val="32"/>
          <w:szCs w:val="32"/>
          <w:highlight w:val="none"/>
          <w:u w:val="none"/>
        </w:rPr>
        <w:t>提高保育与教育质量。</w:t>
      </w:r>
    </w:p>
    <w:p>
      <w:pPr>
        <w:pStyle w:val="4"/>
        <w:keepNext w:val="0"/>
        <w:keepLines w:val="0"/>
        <w:pageBreakBefore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黑体" w:hAnsi="黑体" w:eastAsia="黑体" w:cs="黑体"/>
          <w:bCs/>
          <w:color w:val="auto"/>
          <w:sz w:val="32"/>
          <w:szCs w:val="32"/>
          <w:highlight w:val="none"/>
          <w:u w:val="none"/>
        </w:rPr>
      </w:pPr>
      <w:r>
        <w:rPr>
          <w:rFonts w:hint="eastAsia" w:ascii="黑体" w:hAnsi="黑体" w:eastAsia="黑体" w:cs="黑体"/>
          <w:color w:val="auto"/>
          <w:kern w:val="0"/>
          <w:sz w:val="32"/>
          <w:szCs w:val="32"/>
          <w:highlight w:val="none"/>
          <w:u w:val="none"/>
        </w:rPr>
        <w:t>三</w:t>
      </w:r>
      <w:r>
        <w:rPr>
          <w:rFonts w:hint="eastAsia" w:ascii="黑体" w:hAnsi="黑体" w:eastAsia="黑体" w:cs="黑体"/>
          <w:color w:val="auto"/>
          <w:kern w:val="0"/>
          <w:sz w:val="32"/>
          <w:szCs w:val="32"/>
          <w:highlight w:val="none"/>
          <w:u w:val="none"/>
          <w:lang w:eastAsia="zh-CN"/>
        </w:rPr>
        <w:t>、</w:t>
      </w:r>
      <w:r>
        <w:rPr>
          <w:rFonts w:hint="eastAsia" w:ascii="黑体" w:hAnsi="黑体" w:eastAsia="黑体" w:cs="黑体"/>
          <w:bCs/>
          <w:color w:val="auto"/>
          <w:sz w:val="32"/>
          <w:szCs w:val="32"/>
          <w:highlight w:val="none"/>
          <w:u w:val="none"/>
        </w:rPr>
        <w:t>申报资格和评估</w:t>
      </w:r>
      <w:r>
        <w:rPr>
          <w:rFonts w:hint="eastAsia" w:ascii="黑体" w:hAnsi="黑体" w:eastAsia="黑体" w:cs="黑体"/>
          <w:bCs/>
          <w:color w:val="auto"/>
          <w:sz w:val="32"/>
          <w:szCs w:val="32"/>
          <w:highlight w:val="none"/>
          <w:u w:val="none"/>
          <w:lang w:eastAsia="zh-CN"/>
        </w:rPr>
        <w:t>认定</w:t>
      </w:r>
      <w:r>
        <w:rPr>
          <w:rFonts w:hint="eastAsia" w:ascii="黑体" w:hAnsi="黑体" w:eastAsia="黑体" w:cs="黑体"/>
          <w:bCs/>
          <w:color w:val="auto"/>
          <w:sz w:val="32"/>
          <w:szCs w:val="32"/>
          <w:highlight w:val="none"/>
          <w:u w:val="none"/>
        </w:rPr>
        <w:t>标准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（一）申报资格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申报省</w:t>
      </w:r>
      <w:r>
        <w:rPr>
          <w:rFonts w:hint="eastAsia" w:ascii="仿宋_GB2312" w:hAnsi="仿宋_GB2312" w:eastAsia="仿宋_GB2312" w:cs="仿宋_GB2312"/>
          <w:color w:val="auto"/>
          <w:sz w:val="32"/>
          <w:szCs w:val="32"/>
          <w:highlight w:val="none"/>
          <w:u w:val="none"/>
          <w:lang w:eastAsia="zh-CN"/>
        </w:rPr>
        <w:t>级</w:t>
      </w:r>
      <w:r>
        <w:rPr>
          <w:rFonts w:hint="eastAsia" w:ascii="仿宋_GB2312" w:hAnsi="仿宋_GB2312" w:eastAsia="仿宋_GB2312" w:cs="仿宋_GB2312"/>
          <w:color w:val="auto"/>
          <w:sz w:val="32"/>
          <w:szCs w:val="32"/>
          <w:highlight w:val="none"/>
          <w:u w:val="none"/>
        </w:rPr>
        <w:t>示范性幼儿园</w:t>
      </w:r>
      <w:r>
        <w:rPr>
          <w:rFonts w:hint="eastAsia" w:ascii="仿宋_GB2312" w:hAnsi="仿宋_GB2312" w:eastAsia="仿宋_GB2312" w:cs="仿宋_GB2312"/>
          <w:color w:val="auto"/>
          <w:sz w:val="32"/>
          <w:szCs w:val="32"/>
          <w:highlight w:val="none"/>
          <w:u w:val="none"/>
          <w:lang w:eastAsia="zh-CN"/>
        </w:rPr>
        <w:t>必须满足以下六个</w:t>
      </w:r>
      <w:r>
        <w:rPr>
          <w:rFonts w:hint="eastAsia" w:ascii="仿宋_GB2312" w:hAnsi="仿宋_GB2312" w:eastAsia="仿宋_GB2312" w:cs="仿宋_GB2312"/>
          <w:color w:val="auto"/>
          <w:sz w:val="32"/>
          <w:szCs w:val="32"/>
          <w:highlight w:val="none"/>
          <w:u w:val="none"/>
        </w:rPr>
        <w:t>条件</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原则上申报园必须</w:t>
      </w:r>
      <w:r>
        <w:rPr>
          <w:rFonts w:hint="eastAsia" w:ascii="仿宋_GB2312" w:hAnsi="仿宋_GB2312" w:eastAsia="仿宋_GB2312" w:cs="仿宋_GB2312"/>
          <w:color w:val="auto"/>
          <w:sz w:val="32"/>
          <w:szCs w:val="32"/>
          <w:highlight w:val="none"/>
          <w:u w:val="none"/>
          <w:lang w:eastAsia="zh-CN"/>
        </w:rPr>
        <w:t>办学满五年，且必须是设区市级示范园满</w:t>
      </w:r>
      <w:r>
        <w:rPr>
          <w:rFonts w:hint="eastAsia" w:ascii="仿宋_GB2312" w:hAnsi="仿宋_GB2312" w:eastAsia="仿宋_GB2312" w:cs="仿宋_GB2312"/>
          <w:color w:val="auto"/>
          <w:sz w:val="32"/>
          <w:szCs w:val="32"/>
          <w:highlight w:val="none"/>
          <w:u w:val="none"/>
          <w:lang w:val="en-US" w:eastAsia="zh-CN"/>
        </w:rPr>
        <w:t>3年</w:t>
      </w:r>
      <w:r>
        <w:rPr>
          <w:rFonts w:hint="eastAsia" w:ascii="仿宋_GB2312" w:hAnsi="仿宋_GB2312" w:eastAsia="仿宋_GB2312" w:cs="仿宋_GB2312"/>
          <w:color w:val="auto"/>
          <w:sz w:val="32"/>
          <w:szCs w:val="32"/>
          <w:highlight w:val="none"/>
          <w:u w:val="none"/>
          <w:lang w:eastAsia="zh-CN"/>
        </w:rPr>
        <w:t>。有设置分园或分部（园区）的，</w:t>
      </w:r>
      <w:r>
        <w:rPr>
          <w:rFonts w:hint="eastAsia" w:ascii="仿宋_GB2312" w:hAnsi="仿宋_GB2312" w:eastAsia="仿宋_GB2312" w:cs="仿宋_GB2312"/>
          <w:color w:val="auto"/>
          <w:sz w:val="32"/>
          <w:szCs w:val="32"/>
          <w:highlight w:val="none"/>
          <w:u w:val="none"/>
        </w:rPr>
        <w:t>分园</w:t>
      </w:r>
      <w:r>
        <w:rPr>
          <w:rFonts w:hint="eastAsia" w:ascii="仿宋_GB2312" w:hAnsi="仿宋_GB2312" w:eastAsia="仿宋_GB2312" w:cs="仿宋_GB2312"/>
          <w:color w:val="auto"/>
          <w:sz w:val="32"/>
          <w:szCs w:val="32"/>
          <w:highlight w:val="none"/>
          <w:u w:val="none"/>
          <w:lang w:eastAsia="zh-CN"/>
        </w:rPr>
        <w:t>或分部（园区）</w:t>
      </w:r>
      <w:r>
        <w:rPr>
          <w:rFonts w:hint="eastAsia" w:ascii="仿宋_GB2312" w:hAnsi="仿宋_GB2312" w:eastAsia="仿宋_GB2312" w:cs="仿宋_GB2312"/>
          <w:color w:val="auto"/>
          <w:sz w:val="32"/>
          <w:szCs w:val="32"/>
          <w:highlight w:val="none"/>
          <w:u w:val="none"/>
        </w:rPr>
        <w:t>须</w:t>
      </w:r>
      <w:r>
        <w:rPr>
          <w:rFonts w:hint="eastAsia" w:ascii="仿宋_GB2312" w:hAnsi="仿宋_GB2312" w:eastAsia="仿宋_GB2312" w:cs="仿宋_GB2312"/>
          <w:color w:val="auto"/>
          <w:sz w:val="32"/>
          <w:szCs w:val="32"/>
          <w:highlight w:val="none"/>
          <w:u w:val="none"/>
          <w:lang w:eastAsia="zh-CN"/>
        </w:rPr>
        <w:t>独立申请</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申报园必须具备小、中、大三个年龄班的规模，</w:t>
      </w:r>
      <w:r>
        <w:rPr>
          <w:rFonts w:hint="eastAsia" w:ascii="仿宋_GB2312" w:hAnsi="仿宋_GB2312" w:eastAsia="仿宋_GB2312" w:cs="仿宋_GB2312"/>
          <w:color w:val="auto"/>
          <w:sz w:val="32"/>
          <w:szCs w:val="32"/>
          <w:highlight w:val="none"/>
          <w:u w:val="none"/>
          <w:lang w:eastAsia="zh-CN"/>
        </w:rPr>
        <w:t>无超大班额和超大园额情况。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申报园</w:t>
      </w:r>
      <w:r>
        <w:rPr>
          <w:rFonts w:hint="eastAsia" w:ascii="仿宋_GB2312" w:hAnsi="仿宋_GB2312" w:eastAsia="仿宋_GB2312" w:cs="仿宋_GB2312"/>
          <w:color w:val="auto"/>
          <w:sz w:val="32"/>
          <w:szCs w:val="32"/>
          <w:highlight w:val="none"/>
          <w:u w:val="none"/>
          <w:lang w:eastAsia="zh-CN"/>
        </w:rPr>
        <w:t>校园校舍</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幼儿园园舍不存在C级或D级危房。班级活动单元不存在搭建阁楼或夹层作寝室情况。室外地面游戏场地人均</w:t>
      </w:r>
      <w:r>
        <w:rPr>
          <w:rFonts w:hint="eastAsia" w:ascii="仿宋_GB2312" w:hAnsi="仿宋_GB2312" w:eastAsia="仿宋_GB2312" w:cs="仿宋_GB2312"/>
          <w:color w:val="auto"/>
          <w:sz w:val="32"/>
          <w:szCs w:val="32"/>
          <w:highlight w:val="none"/>
          <w:u w:val="none"/>
        </w:rPr>
        <w:t>面积不少于4平方米</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2017年前规划建设的幼儿园，室外地面游戏场地人均</w:t>
      </w:r>
      <w:r>
        <w:rPr>
          <w:rFonts w:hint="eastAsia" w:ascii="仿宋_GB2312" w:hAnsi="仿宋_GB2312" w:eastAsia="仿宋_GB2312" w:cs="仿宋_GB2312"/>
          <w:color w:val="auto"/>
          <w:sz w:val="32"/>
          <w:szCs w:val="32"/>
          <w:highlight w:val="none"/>
          <w:u w:val="none"/>
        </w:rPr>
        <w:t>面积不少于</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平方米</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申报园近三年内无发生同本园负有直接管理责任的重大安全</w:t>
      </w:r>
      <w:r>
        <w:rPr>
          <w:rFonts w:hint="eastAsia" w:ascii="仿宋_GB2312" w:hAnsi="仿宋_GB2312" w:eastAsia="仿宋_GB2312" w:cs="仿宋_GB2312"/>
          <w:color w:val="auto"/>
          <w:sz w:val="32"/>
          <w:szCs w:val="32"/>
          <w:highlight w:val="none"/>
          <w:u w:val="none"/>
          <w:lang w:eastAsia="zh-CN"/>
        </w:rPr>
        <w:t>、卫生</w:t>
      </w:r>
      <w:r>
        <w:rPr>
          <w:rFonts w:hint="eastAsia" w:ascii="仿宋_GB2312" w:hAnsi="仿宋_GB2312" w:eastAsia="仿宋_GB2312" w:cs="仿宋_GB2312"/>
          <w:color w:val="auto"/>
          <w:sz w:val="32"/>
          <w:szCs w:val="32"/>
          <w:highlight w:val="none"/>
          <w:u w:val="none"/>
        </w:rPr>
        <w:t>事故和违法行为，无体罚或变相体罚幼儿等违背师德的行为</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5.申报园严格执行教育法律、法规和政策，办学行为规范，不存在教育乱收费、违规征订学生用书等现象。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申报园应实事求是、无弄虚作假现象。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（二）评估认定标准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示范园评估以五百分制计算（另有附加分</w:t>
      </w:r>
      <w:r>
        <w:rPr>
          <w:rFonts w:hint="eastAsia" w:ascii="仿宋_GB2312" w:hAnsi="仿宋_GB2312" w:eastAsia="仿宋_GB2312" w:cs="仿宋_GB2312"/>
          <w:color w:val="auto"/>
          <w:sz w:val="32"/>
          <w:szCs w:val="32"/>
          <w:highlight w:val="none"/>
          <w:u w:val="none"/>
          <w:lang w:val="en-US" w:eastAsia="zh-CN"/>
        </w:rPr>
        <w:t>20分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总得分达</w:t>
      </w:r>
      <w:r>
        <w:rPr>
          <w:rFonts w:hint="eastAsia" w:ascii="仿宋_GB2312" w:hAnsi="仿宋_GB2312" w:eastAsia="仿宋_GB2312" w:cs="仿宋_GB2312"/>
          <w:color w:val="auto"/>
          <w:sz w:val="32"/>
          <w:szCs w:val="32"/>
          <w:highlight w:val="none"/>
          <w:u w:val="none"/>
          <w:lang w:val="en-US" w:eastAsia="zh-CN"/>
        </w:rPr>
        <w:t>450</w:t>
      </w:r>
      <w:r>
        <w:rPr>
          <w:rFonts w:hint="eastAsia" w:ascii="仿宋_GB2312" w:hAnsi="仿宋_GB2312" w:eastAsia="仿宋_GB2312" w:cs="仿宋_GB2312"/>
          <w:color w:val="auto"/>
          <w:sz w:val="32"/>
          <w:szCs w:val="32"/>
          <w:highlight w:val="none"/>
          <w:u w:val="none"/>
        </w:rPr>
        <w:t>分以上</w:t>
      </w:r>
      <w:r>
        <w:rPr>
          <w:rFonts w:hint="eastAsia" w:ascii="仿宋_GB2312" w:hAnsi="仿宋_GB2312" w:eastAsia="仿宋_GB2312" w:cs="仿宋_GB2312"/>
          <w:color w:val="auto"/>
          <w:sz w:val="32"/>
          <w:szCs w:val="32"/>
          <w:highlight w:val="none"/>
          <w:u w:val="none"/>
          <w:lang w:eastAsia="zh-CN"/>
        </w:rPr>
        <w:t>，且每项</w:t>
      </w:r>
      <w:r>
        <w:rPr>
          <w:rFonts w:hint="eastAsia" w:ascii="仿宋_GB2312" w:hAnsi="仿宋_GB2312" w:eastAsia="仿宋_GB2312" w:cs="仿宋_GB2312"/>
          <w:color w:val="auto"/>
          <w:sz w:val="32"/>
          <w:szCs w:val="32"/>
          <w:highlight w:val="none"/>
          <w:u w:val="none"/>
          <w:lang w:val="en-US" w:eastAsia="zh-CN"/>
        </w:rPr>
        <w:t>A类指标项目（A8除外）得分不少于该项目总分值的80%，方达到认定标准</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四、</w:t>
      </w:r>
      <w:r>
        <w:rPr>
          <w:rFonts w:hint="eastAsia" w:ascii="黑体" w:hAnsi="黑体" w:eastAsia="黑体" w:cs="黑体"/>
          <w:color w:val="auto"/>
          <w:kern w:val="0"/>
          <w:sz w:val="32"/>
          <w:szCs w:val="32"/>
          <w:highlight w:val="none"/>
          <w:u w:val="none"/>
          <w:lang w:eastAsia="zh-CN"/>
        </w:rPr>
        <w:t>基本</w:t>
      </w:r>
      <w:r>
        <w:rPr>
          <w:rFonts w:hint="eastAsia" w:ascii="黑体" w:hAnsi="黑体" w:eastAsia="黑体" w:cs="黑体"/>
          <w:color w:val="auto"/>
          <w:kern w:val="0"/>
          <w:sz w:val="32"/>
          <w:szCs w:val="32"/>
          <w:highlight w:val="none"/>
          <w:u w:val="none"/>
        </w:rPr>
        <w:t>程序</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确定为省级示范性幼儿园须经创建、</w:t>
      </w:r>
      <w:r>
        <w:rPr>
          <w:rFonts w:hint="eastAsia" w:ascii="仿宋_GB2312" w:hAnsi="仿宋_GB2312" w:eastAsia="仿宋_GB2312" w:cs="仿宋_GB2312"/>
          <w:color w:val="auto"/>
          <w:sz w:val="32"/>
          <w:szCs w:val="32"/>
          <w:highlight w:val="none"/>
          <w:u w:val="none"/>
          <w:lang w:eastAsia="zh-CN"/>
        </w:rPr>
        <w:t>自评、</w:t>
      </w:r>
      <w:r>
        <w:rPr>
          <w:rFonts w:hint="eastAsia" w:ascii="仿宋_GB2312" w:hAnsi="仿宋_GB2312" w:eastAsia="仿宋_GB2312" w:cs="仿宋_GB2312"/>
          <w:color w:val="auto"/>
          <w:sz w:val="32"/>
          <w:szCs w:val="32"/>
          <w:highlight w:val="none"/>
          <w:u w:val="none"/>
        </w:rPr>
        <w:t>申报、评估、确认等基本程序。</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（一）创建阶段。</w:t>
      </w:r>
      <w:r>
        <w:rPr>
          <w:rFonts w:hint="eastAsia" w:ascii="仿宋_GB2312" w:hAnsi="仿宋_GB2312" w:eastAsia="仿宋_GB2312" w:cs="仿宋_GB2312"/>
          <w:color w:val="auto"/>
          <w:sz w:val="32"/>
          <w:szCs w:val="32"/>
          <w:highlight w:val="none"/>
          <w:u w:val="none"/>
          <w:lang w:eastAsia="zh-CN"/>
        </w:rPr>
        <w:t>幼儿</w:t>
      </w:r>
      <w:r>
        <w:rPr>
          <w:rFonts w:hint="eastAsia" w:ascii="仿宋_GB2312" w:hAnsi="仿宋_GB2312" w:eastAsia="仿宋_GB2312" w:cs="仿宋_GB2312"/>
          <w:color w:val="auto"/>
          <w:sz w:val="32"/>
          <w:szCs w:val="32"/>
          <w:highlight w:val="none"/>
          <w:u w:val="none"/>
        </w:rPr>
        <w:t>园</w:t>
      </w:r>
      <w:r>
        <w:rPr>
          <w:rFonts w:hint="eastAsia" w:ascii="仿宋_GB2312" w:hAnsi="仿宋_GB2312" w:eastAsia="仿宋_GB2312" w:cs="仿宋_GB2312"/>
          <w:color w:val="auto"/>
          <w:sz w:val="32"/>
          <w:szCs w:val="32"/>
          <w:highlight w:val="none"/>
          <w:u w:val="none"/>
          <w:lang w:eastAsia="zh-CN"/>
        </w:rPr>
        <w:t>对照</w:t>
      </w:r>
      <w:r>
        <w:rPr>
          <w:rFonts w:hint="eastAsia" w:ascii="仿宋_GB2312" w:hAnsi="仿宋_GB2312" w:eastAsia="仿宋_GB2312" w:cs="仿宋_GB2312"/>
          <w:color w:val="auto"/>
          <w:sz w:val="32"/>
          <w:szCs w:val="32"/>
          <w:highlight w:val="none"/>
          <w:u w:val="none"/>
        </w:rPr>
        <w:t>《福建省示范性幼儿园评估标准（</w:t>
      </w:r>
      <w:r>
        <w:rPr>
          <w:rFonts w:hint="eastAsia" w:ascii="仿宋_GB2312" w:hAnsi="仿宋_GB2312" w:eastAsia="仿宋_GB2312" w:cs="仿宋_GB2312"/>
          <w:color w:val="auto"/>
          <w:sz w:val="32"/>
          <w:szCs w:val="32"/>
          <w:highlight w:val="none"/>
          <w:u w:val="none"/>
          <w:lang w:eastAsia="zh-CN"/>
        </w:rPr>
        <w:t>修订</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要求，制定创建工作方案和发展规划，并报教育主管部门。教育主管部门组织人员对幼儿园创建工作方案和发展规划进行论证和评审，评审通过后，幼儿园按照规划开展创建。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（二）自评阶段。</w:t>
      </w:r>
      <w:r>
        <w:rPr>
          <w:rFonts w:hint="eastAsia" w:ascii="仿宋_GB2312" w:hAnsi="仿宋_GB2312" w:eastAsia="仿宋_GB2312" w:cs="仿宋_GB2312"/>
          <w:color w:val="auto"/>
          <w:sz w:val="32"/>
          <w:szCs w:val="32"/>
          <w:highlight w:val="none"/>
          <w:u w:val="none"/>
        </w:rPr>
        <w:t>申报园组织广大教职工学习和对照《福建省示范性幼儿园评估标准（</w:t>
      </w:r>
      <w:r>
        <w:rPr>
          <w:rFonts w:hint="eastAsia" w:ascii="仿宋_GB2312" w:hAnsi="仿宋_GB2312" w:eastAsia="仿宋_GB2312" w:cs="仿宋_GB2312"/>
          <w:color w:val="auto"/>
          <w:sz w:val="32"/>
          <w:szCs w:val="32"/>
          <w:highlight w:val="none"/>
          <w:u w:val="none"/>
          <w:lang w:eastAsia="zh-CN"/>
        </w:rPr>
        <w:t>修订</w:t>
      </w:r>
      <w:r>
        <w:rPr>
          <w:rFonts w:hint="eastAsia" w:ascii="仿宋_GB2312" w:hAnsi="仿宋_GB2312" w:eastAsia="仿宋_GB2312" w:cs="仿宋_GB2312"/>
          <w:color w:val="auto"/>
          <w:sz w:val="32"/>
          <w:szCs w:val="32"/>
          <w:highlight w:val="none"/>
          <w:u w:val="none"/>
        </w:rPr>
        <w:t>）》，梳理办园成绩、优势和存在问题，实事求是地进行自查和测评，认真撰写自评报告（包括幼儿园基本情况，创建工作的做法、成效及经验，存在的问题，整改的方向及措施等内容），并填写《福建省示范性幼儿园评估幼儿园自评表》</w:t>
      </w:r>
      <w:r>
        <w:rPr>
          <w:rFonts w:hint="eastAsia" w:ascii="仿宋_GB2312" w:hAnsi="仿宋_GB2312" w:eastAsia="仿宋_GB2312" w:cs="仿宋_GB2312"/>
          <w:color w:val="auto"/>
          <w:sz w:val="32"/>
          <w:szCs w:val="32"/>
          <w:highlight w:val="none"/>
          <w:u w:val="none"/>
          <w:lang w:eastAsia="zh-CN"/>
        </w:rPr>
        <w:t>（附件</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（三）申报阶段。</w:t>
      </w:r>
      <w:r>
        <w:rPr>
          <w:rFonts w:hint="eastAsia" w:ascii="仿宋_GB2312" w:hAnsi="仿宋_GB2312" w:eastAsia="仿宋_GB2312" w:cs="仿宋_GB2312"/>
          <w:color w:val="auto"/>
          <w:sz w:val="32"/>
          <w:szCs w:val="32"/>
          <w:highlight w:val="none"/>
          <w:u w:val="none"/>
        </w:rPr>
        <w:t>省级示范性幼儿园</w:t>
      </w:r>
      <w:r>
        <w:rPr>
          <w:rFonts w:hint="eastAsia" w:ascii="仿宋_GB2312" w:hAnsi="仿宋_GB2312" w:eastAsia="仿宋_GB2312" w:cs="仿宋_GB2312"/>
          <w:color w:val="auto"/>
          <w:sz w:val="32"/>
          <w:szCs w:val="32"/>
          <w:highlight w:val="none"/>
          <w:u w:val="none"/>
          <w:lang w:eastAsia="zh-CN"/>
        </w:rPr>
        <w:t>评估工作一般</w:t>
      </w:r>
      <w:r>
        <w:rPr>
          <w:rFonts w:hint="eastAsia" w:ascii="仿宋_GB2312" w:hAnsi="仿宋_GB2312" w:eastAsia="仿宋_GB2312" w:cs="仿宋_GB2312"/>
          <w:color w:val="auto"/>
          <w:sz w:val="32"/>
          <w:szCs w:val="32"/>
          <w:highlight w:val="none"/>
          <w:u w:val="none"/>
        </w:rPr>
        <w:t>每年</w:t>
      </w:r>
      <w:r>
        <w:rPr>
          <w:rFonts w:hint="eastAsia" w:ascii="仿宋_GB2312" w:hAnsi="仿宋_GB2312" w:eastAsia="仿宋_GB2312" w:cs="仿宋_GB2312"/>
          <w:color w:val="auto"/>
          <w:sz w:val="32"/>
          <w:szCs w:val="32"/>
          <w:highlight w:val="none"/>
          <w:u w:val="none"/>
          <w:lang w:eastAsia="zh-CN"/>
        </w:rPr>
        <w:t>组织</w:t>
      </w:r>
      <w:r>
        <w:rPr>
          <w:rFonts w:hint="eastAsia" w:ascii="仿宋_GB2312" w:hAnsi="仿宋_GB2312" w:eastAsia="仿宋_GB2312" w:cs="仿宋_GB2312"/>
          <w:color w:val="auto"/>
          <w:sz w:val="32"/>
          <w:szCs w:val="32"/>
          <w:highlight w:val="none"/>
          <w:u w:val="none"/>
        </w:rPr>
        <w:t>一次，申报园在自评确认已符合省示范园申报条件的基础上，</w:t>
      </w:r>
      <w:r>
        <w:rPr>
          <w:rFonts w:hint="eastAsia" w:ascii="仿宋_GB2312" w:hAnsi="仿宋_GB2312" w:eastAsia="仿宋_GB2312" w:cs="仿宋_GB2312"/>
          <w:color w:val="auto"/>
          <w:sz w:val="32"/>
          <w:szCs w:val="32"/>
          <w:highlight w:val="none"/>
          <w:u w:val="none"/>
          <w:lang w:eastAsia="zh-CN"/>
        </w:rPr>
        <w:t>向</w:t>
      </w:r>
      <w:r>
        <w:rPr>
          <w:rFonts w:hint="eastAsia" w:ascii="仿宋_GB2312" w:hAnsi="仿宋_GB2312" w:eastAsia="仿宋_GB2312" w:cs="仿宋_GB2312"/>
          <w:color w:val="auto"/>
          <w:sz w:val="32"/>
          <w:szCs w:val="32"/>
          <w:highlight w:val="none"/>
          <w:u w:val="none"/>
        </w:rPr>
        <w:t>所辖县（市</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区）教育行政主管部门</w:t>
      </w:r>
      <w:r>
        <w:rPr>
          <w:rFonts w:hint="eastAsia" w:ascii="仿宋_GB2312" w:hAnsi="仿宋_GB2312" w:eastAsia="仿宋_GB2312" w:cs="仿宋_GB2312"/>
          <w:color w:val="auto"/>
          <w:sz w:val="32"/>
          <w:szCs w:val="32"/>
          <w:highlight w:val="none"/>
          <w:u w:val="none"/>
          <w:lang w:eastAsia="zh-CN"/>
        </w:rPr>
        <w:t>提交</w:t>
      </w:r>
      <w:r>
        <w:rPr>
          <w:rFonts w:hint="eastAsia" w:ascii="仿宋_GB2312" w:hAnsi="仿宋_GB2312" w:eastAsia="仿宋_GB2312" w:cs="仿宋_GB2312"/>
          <w:color w:val="auto"/>
          <w:sz w:val="32"/>
          <w:szCs w:val="32"/>
          <w:highlight w:val="none"/>
          <w:u w:val="none"/>
        </w:rPr>
        <w:t>《福建省示范性幼儿园评估申报表》（</w:t>
      </w:r>
      <w:r>
        <w:rPr>
          <w:rFonts w:hint="eastAsia" w:ascii="仿宋_GB2312" w:hAnsi="仿宋_GB2312" w:eastAsia="仿宋_GB2312" w:cs="仿宋_GB2312"/>
          <w:color w:val="auto"/>
          <w:sz w:val="32"/>
          <w:szCs w:val="32"/>
          <w:highlight w:val="none"/>
          <w:u w:val="none"/>
          <w:lang w:eastAsia="zh-CN"/>
        </w:rPr>
        <w:t>附件</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设区市直属幼儿园直接向设区市教育局申请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县（市、区）教育局经核实并签署意见后，连同《福建省示范性幼儿园评估幼儿园自评表》报设区市教育局，由设区市教育局对</w:t>
      </w:r>
      <w:r>
        <w:rPr>
          <w:rFonts w:hint="eastAsia" w:ascii="仿宋_GB2312" w:hAnsi="仿宋_GB2312" w:eastAsia="仿宋_GB2312" w:cs="仿宋_GB2312"/>
          <w:color w:val="auto"/>
          <w:sz w:val="32"/>
          <w:szCs w:val="32"/>
          <w:highlight w:val="none"/>
          <w:u w:val="none"/>
          <w:lang w:eastAsia="zh-CN"/>
        </w:rPr>
        <w:t>申报</w:t>
      </w:r>
      <w:r>
        <w:rPr>
          <w:rFonts w:hint="eastAsia" w:ascii="仿宋_GB2312" w:hAnsi="仿宋_GB2312" w:eastAsia="仿宋_GB2312" w:cs="仿宋_GB2312"/>
          <w:color w:val="auto"/>
          <w:sz w:val="32"/>
          <w:szCs w:val="32"/>
          <w:highlight w:val="none"/>
          <w:u w:val="none"/>
        </w:rPr>
        <w:t>幼儿园</w:t>
      </w:r>
      <w:r>
        <w:rPr>
          <w:rFonts w:hint="eastAsia" w:ascii="仿宋_GB2312" w:hAnsi="仿宋_GB2312" w:eastAsia="仿宋_GB2312" w:cs="仿宋_GB2312"/>
          <w:color w:val="auto"/>
          <w:sz w:val="32"/>
          <w:szCs w:val="32"/>
          <w:highlight w:val="none"/>
          <w:u w:val="none"/>
          <w:lang w:eastAsia="zh-CN"/>
        </w:rPr>
        <w:t>进行资格审查并组织预评，预评合格经公示无异议后</w:t>
      </w:r>
      <w:r>
        <w:rPr>
          <w:rFonts w:hint="eastAsia" w:ascii="仿宋_GB2312" w:hAnsi="仿宋_GB2312" w:eastAsia="仿宋_GB2312" w:cs="仿宋_GB2312"/>
          <w:color w:val="auto"/>
          <w:sz w:val="32"/>
          <w:szCs w:val="32"/>
          <w:highlight w:val="none"/>
          <w:u w:val="none"/>
        </w:rPr>
        <w:t>（公示</w:t>
      </w:r>
      <w:r>
        <w:rPr>
          <w:rFonts w:hint="eastAsia" w:ascii="仿宋_GB2312" w:hAnsi="仿宋_GB2312" w:eastAsia="仿宋_GB2312" w:cs="仿宋_GB2312"/>
          <w:color w:val="auto"/>
          <w:sz w:val="32"/>
          <w:szCs w:val="32"/>
          <w:highlight w:val="none"/>
          <w:u w:val="none"/>
          <w:lang w:eastAsia="zh-CN"/>
        </w:rPr>
        <w:t>不少于</w:t>
      </w:r>
      <w:r>
        <w:rPr>
          <w:rFonts w:hint="eastAsia" w:ascii="仿宋_GB2312" w:hAnsi="仿宋_GB2312" w:eastAsia="仿宋_GB2312" w:cs="仿宋_GB2312"/>
          <w:color w:val="auto"/>
          <w:sz w:val="32"/>
          <w:szCs w:val="32"/>
          <w:highlight w:val="none"/>
          <w:u w:val="none"/>
          <w:lang w:val="en-US" w:eastAsia="zh-CN"/>
        </w:rPr>
        <w:t>5个工作日</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，于每年</w:t>
      </w:r>
      <w:r>
        <w:rPr>
          <w:rFonts w:hint="eastAsia" w:ascii="仿宋_GB2312" w:hAnsi="仿宋_GB2312" w:eastAsia="仿宋_GB2312" w:cs="仿宋_GB2312"/>
          <w:color w:val="auto"/>
          <w:sz w:val="32"/>
          <w:szCs w:val="32"/>
          <w:highlight w:val="none"/>
          <w:u w:val="none"/>
          <w:lang w:val="en-US" w:eastAsia="zh-CN"/>
        </w:rPr>
        <w:t>10月底前</w:t>
      </w:r>
      <w:r>
        <w:rPr>
          <w:rFonts w:hint="eastAsia" w:ascii="仿宋_GB2312" w:hAnsi="仿宋_GB2312" w:eastAsia="仿宋_GB2312" w:cs="仿宋_GB2312"/>
          <w:color w:val="auto"/>
          <w:sz w:val="32"/>
          <w:szCs w:val="32"/>
          <w:highlight w:val="none"/>
          <w:u w:val="none"/>
        </w:rPr>
        <w:t>向省教育厅提</w:t>
      </w:r>
      <w:r>
        <w:rPr>
          <w:rFonts w:hint="eastAsia" w:ascii="仿宋_GB2312" w:hAnsi="仿宋_GB2312" w:eastAsia="仿宋_GB2312" w:cs="仿宋_GB2312"/>
          <w:color w:val="auto"/>
          <w:sz w:val="32"/>
          <w:szCs w:val="32"/>
          <w:highlight w:val="none"/>
          <w:u w:val="none"/>
          <w:lang w:eastAsia="zh-CN"/>
        </w:rPr>
        <w:t>交</w:t>
      </w:r>
      <w:r>
        <w:rPr>
          <w:rFonts w:hint="eastAsia" w:ascii="仿宋_GB2312" w:hAnsi="仿宋_GB2312" w:eastAsia="仿宋_GB2312" w:cs="仿宋_GB2312"/>
          <w:color w:val="auto"/>
          <w:sz w:val="32"/>
          <w:szCs w:val="32"/>
          <w:highlight w:val="none"/>
          <w:u w:val="none"/>
        </w:rPr>
        <w:t>评估申请</w:t>
      </w:r>
      <w:r>
        <w:rPr>
          <w:rFonts w:hint="eastAsia" w:ascii="仿宋_GB2312" w:hAnsi="仿宋_GB2312" w:eastAsia="仿宋_GB2312" w:cs="仿宋_GB2312"/>
          <w:color w:val="auto"/>
          <w:sz w:val="32"/>
          <w:szCs w:val="32"/>
          <w:highlight w:val="none"/>
          <w:u w:val="none"/>
          <w:lang w:eastAsia="zh-CN"/>
        </w:rPr>
        <w:t>报告（含资格审查、预评估概况及得分情况）</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（四）评估阶段。</w:t>
      </w:r>
      <w:r>
        <w:rPr>
          <w:rFonts w:hint="eastAsia" w:ascii="仿宋_GB2312" w:hAnsi="仿宋_GB2312" w:eastAsia="仿宋_GB2312" w:cs="仿宋_GB2312"/>
          <w:color w:val="auto"/>
          <w:sz w:val="32"/>
          <w:szCs w:val="32"/>
          <w:highlight w:val="none"/>
          <w:u w:val="none"/>
          <w:lang w:eastAsia="zh-CN"/>
        </w:rPr>
        <w:t>根据设区市教育局提出的评估申请报告，在审核确认申报园符合申报资格的基础上，</w:t>
      </w:r>
      <w:r>
        <w:rPr>
          <w:rFonts w:hint="eastAsia" w:ascii="仿宋_GB2312" w:hAnsi="仿宋_GB2312" w:eastAsia="仿宋_GB2312" w:cs="仿宋_GB2312"/>
          <w:color w:val="auto"/>
          <w:sz w:val="32"/>
          <w:szCs w:val="32"/>
          <w:highlight w:val="none"/>
          <w:u w:val="none"/>
        </w:rPr>
        <w:t>省教育厅组织专家组赴申报园进行现场评估。</w:t>
      </w:r>
      <w:r>
        <w:rPr>
          <w:rFonts w:hint="eastAsia" w:ascii="仿宋_GB2312" w:hAnsi="仿宋_GB2312" w:eastAsia="仿宋_GB2312" w:cs="仿宋_GB2312"/>
          <w:color w:val="auto"/>
          <w:sz w:val="32"/>
          <w:szCs w:val="32"/>
          <w:highlight w:val="none"/>
          <w:u w:val="none"/>
          <w:lang w:eastAsia="zh-CN"/>
        </w:rPr>
        <w:t>评估包括实地察看、观察幼儿活动、听取汇报、问卷调查、座谈访谈</w:t>
      </w:r>
      <w:r>
        <w:rPr>
          <w:rFonts w:hint="eastAsia" w:ascii="仿宋_GB2312" w:hAnsi="仿宋_GB2312" w:eastAsia="仿宋_GB2312" w:cs="仿宋_GB2312"/>
          <w:color w:val="auto"/>
          <w:sz w:val="32"/>
          <w:szCs w:val="32"/>
          <w:highlight w:val="none"/>
          <w:u w:val="none"/>
        </w:rPr>
        <w:t>、资料查阅</w:t>
      </w:r>
      <w:r>
        <w:rPr>
          <w:rFonts w:hint="eastAsia" w:ascii="仿宋_GB2312" w:hAnsi="仿宋_GB2312" w:eastAsia="仿宋_GB2312" w:cs="仿宋_GB2312"/>
          <w:color w:val="auto"/>
          <w:sz w:val="32"/>
          <w:szCs w:val="32"/>
          <w:highlight w:val="none"/>
          <w:u w:val="none"/>
          <w:lang w:eastAsia="zh-CN"/>
        </w:rPr>
        <w:t>等多种方式。专家组评估后，经集体讨论形成评估意见报省教育厅</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（五）整改阶段。</w:t>
      </w:r>
      <w:r>
        <w:rPr>
          <w:rFonts w:hint="eastAsia" w:ascii="仿宋_GB2312" w:hAnsi="仿宋_GB2312" w:eastAsia="仿宋_GB2312" w:cs="仿宋_GB2312"/>
          <w:color w:val="auto"/>
          <w:sz w:val="32"/>
          <w:szCs w:val="32"/>
          <w:highlight w:val="none"/>
          <w:u w:val="none"/>
          <w:lang w:eastAsia="zh-CN"/>
        </w:rPr>
        <w:t>现场评估后，每个申报园有</w:t>
      </w:r>
      <w:r>
        <w:rPr>
          <w:rFonts w:hint="eastAsia" w:ascii="仿宋_GB2312" w:hAnsi="仿宋_GB2312" w:eastAsia="仿宋_GB2312" w:cs="仿宋_GB2312"/>
          <w:color w:val="auto"/>
          <w:sz w:val="32"/>
          <w:szCs w:val="32"/>
          <w:highlight w:val="none"/>
          <w:u w:val="none"/>
          <w:lang w:val="en-US" w:eastAsia="zh-CN"/>
        </w:rPr>
        <w:t>3个月的阶段性整改提升时间。</w:t>
      </w:r>
      <w:r>
        <w:rPr>
          <w:rFonts w:hint="eastAsia" w:ascii="仿宋_GB2312" w:hAnsi="仿宋_GB2312" w:eastAsia="仿宋_GB2312" w:cs="仿宋_GB2312"/>
          <w:color w:val="auto"/>
          <w:sz w:val="32"/>
          <w:szCs w:val="32"/>
          <w:highlight w:val="none"/>
          <w:u w:val="none"/>
        </w:rPr>
        <w:t>申报园根据专家组评估意见，拟定整改方案</w:t>
      </w:r>
      <w:r>
        <w:rPr>
          <w:rFonts w:hint="eastAsia" w:ascii="仿宋_GB2312" w:hAnsi="仿宋_GB2312" w:eastAsia="仿宋_GB2312" w:cs="仿宋_GB2312"/>
          <w:color w:val="auto"/>
          <w:sz w:val="32"/>
          <w:szCs w:val="32"/>
          <w:highlight w:val="none"/>
          <w:u w:val="none"/>
          <w:lang w:eastAsia="zh-CN"/>
        </w:rPr>
        <w:t>，提出分阶段整改提升举措，并立即落实整改，按时向省教育厅报送整改方案和落实情况报告</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b/>
          <w:bCs/>
          <w:color w:val="auto"/>
          <w:sz w:val="32"/>
          <w:szCs w:val="32"/>
          <w:highlight w:val="none"/>
          <w:u w:val="none"/>
          <w:lang w:val="en-US" w:eastAsia="zh-CN"/>
        </w:rPr>
        <w:t>（六）确认阶段。</w:t>
      </w:r>
      <w:r>
        <w:rPr>
          <w:rFonts w:hint="eastAsia" w:ascii="仿宋_GB2312" w:hAnsi="仿宋_GB2312" w:eastAsia="仿宋_GB2312" w:cs="仿宋_GB2312"/>
          <w:color w:val="auto"/>
          <w:sz w:val="32"/>
          <w:szCs w:val="32"/>
          <w:highlight w:val="none"/>
          <w:u w:val="none"/>
        </w:rPr>
        <w:t>省教育厅对省级专家组的评估意见和申报园的整改方案</w:t>
      </w:r>
      <w:r>
        <w:rPr>
          <w:rFonts w:hint="eastAsia" w:ascii="仿宋_GB2312" w:hAnsi="仿宋_GB2312" w:eastAsia="仿宋_GB2312" w:cs="仿宋_GB2312"/>
          <w:color w:val="auto"/>
          <w:sz w:val="32"/>
          <w:szCs w:val="32"/>
          <w:highlight w:val="none"/>
          <w:u w:val="none"/>
          <w:lang w:eastAsia="zh-CN"/>
        </w:rPr>
        <w:t>及落实情况</w:t>
      </w:r>
      <w:r>
        <w:rPr>
          <w:rFonts w:hint="eastAsia" w:ascii="仿宋_GB2312" w:hAnsi="仿宋_GB2312" w:eastAsia="仿宋_GB2312" w:cs="仿宋_GB2312"/>
          <w:color w:val="auto"/>
          <w:sz w:val="32"/>
          <w:szCs w:val="32"/>
          <w:highlight w:val="none"/>
          <w:u w:val="none"/>
        </w:rPr>
        <w:t>进行审核，对符合省</w:t>
      </w:r>
      <w:r>
        <w:rPr>
          <w:rFonts w:hint="eastAsia" w:ascii="仿宋_GB2312" w:hAnsi="仿宋_GB2312" w:eastAsia="仿宋_GB2312" w:cs="仿宋_GB2312"/>
          <w:color w:val="auto"/>
          <w:sz w:val="32"/>
          <w:szCs w:val="32"/>
          <w:highlight w:val="none"/>
          <w:u w:val="none"/>
          <w:lang w:eastAsia="zh-CN"/>
        </w:rPr>
        <w:t>级</w:t>
      </w:r>
      <w:r>
        <w:rPr>
          <w:rFonts w:hint="eastAsia" w:ascii="仿宋_GB2312" w:hAnsi="仿宋_GB2312" w:eastAsia="仿宋_GB2312" w:cs="仿宋_GB2312"/>
          <w:color w:val="auto"/>
          <w:sz w:val="32"/>
          <w:szCs w:val="32"/>
          <w:highlight w:val="none"/>
          <w:u w:val="none"/>
        </w:rPr>
        <w:t>示范性幼儿园评估条件的申报园进行公示，公示无异议后下文予以确认。</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　</w:t>
      </w:r>
      <w:r>
        <w:rPr>
          <w:rFonts w:hint="eastAsia" w:ascii="黑体" w:hAnsi="黑体" w:eastAsia="黑体" w:cs="黑体"/>
          <w:color w:val="auto"/>
          <w:kern w:val="0"/>
          <w:sz w:val="32"/>
          <w:szCs w:val="32"/>
          <w:highlight w:val="none"/>
          <w:u w:val="none"/>
          <w:lang w:eastAsia="zh-CN"/>
        </w:rPr>
        <w:t>　</w:t>
      </w:r>
      <w:r>
        <w:rPr>
          <w:rFonts w:hint="eastAsia" w:ascii="黑体" w:hAnsi="黑体" w:eastAsia="黑体" w:cs="黑体"/>
          <w:color w:val="auto"/>
          <w:kern w:val="0"/>
          <w:sz w:val="32"/>
          <w:szCs w:val="32"/>
          <w:highlight w:val="none"/>
          <w:u w:val="none"/>
        </w:rPr>
        <w:t>五、示范性幼儿园的责任</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省级</w:t>
      </w:r>
      <w:r>
        <w:rPr>
          <w:rFonts w:hint="eastAsia" w:ascii="仿宋_GB2312" w:hAnsi="仿宋_GB2312" w:eastAsia="仿宋_GB2312" w:cs="仿宋_GB2312"/>
          <w:color w:val="auto"/>
          <w:sz w:val="32"/>
          <w:szCs w:val="32"/>
          <w:highlight w:val="none"/>
          <w:u w:val="none"/>
        </w:rPr>
        <w:t>示范性幼儿园应全面贯彻党的教育方针，严格执行国家和我省有关学前教育的政策、法规，切实维护幼儿园、教职工以及广大在园幼儿的切身利益</w:t>
      </w:r>
      <w:r>
        <w:rPr>
          <w:rFonts w:hint="eastAsia" w:ascii="仿宋_GB2312" w:hAnsi="仿宋_GB2312" w:eastAsia="仿宋_GB2312" w:cs="仿宋_GB2312"/>
          <w:color w:val="auto"/>
          <w:sz w:val="32"/>
          <w:szCs w:val="32"/>
          <w:highlight w:val="none"/>
          <w:u w:val="none"/>
          <w:lang w:eastAsia="zh-CN"/>
        </w:rPr>
        <w:t>；坚持以</w:t>
      </w:r>
      <w:r>
        <w:rPr>
          <w:rFonts w:hint="eastAsia" w:ascii="仿宋_GB2312" w:hAnsi="仿宋_GB2312" w:eastAsia="仿宋_GB2312" w:cs="仿宋_GB2312"/>
          <w:color w:val="auto"/>
          <w:sz w:val="32"/>
          <w:szCs w:val="32"/>
          <w:highlight w:val="none"/>
          <w:u w:val="none"/>
        </w:rPr>
        <w:t>儿童为</w:t>
      </w:r>
      <w:r>
        <w:rPr>
          <w:rFonts w:hint="eastAsia" w:ascii="仿宋_GB2312" w:hAnsi="仿宋_GB2312" w:eastAsia="仿宋_GB2312" w:cs="仿宋_GB2312"/>
          <w:color w:val="auto"/>
          <w:sz w:val="32"/>
          <w:szCs w:val="32"/>
          <w:highlight w:val="none"/>
          <w:u w:val="none"/>
          <w:lang w:eastAsia="zh-CN"/>
        </w:rPr>
        <w:t>中心</w:t>
      </w:r>
      <w:r>
        <w:rPr>
          <w:rFonts w:hint="eastAsia" w:ascii="仿宋_GB2312" w:hAnsi="仿宋_GB2312" w:eastAsia="仿宋_GB2312" w:cs="仿宋_GB2312"/>
          <w:color w:val="auto"/>
          <w:sz w:val="32"/>
          <w:szCs w:val="32"/>
          <w:highlight w:val="none"/>
          <w:u w:val="none"/>
        </w:rPr>
        <w:t>，严格遵循教育规律和儿童身心发展特点，以游戏为基本活动，</w:t>
      </w:r>
      <w:r>
        <w:rPr>
          <w:rFonts w:hint="eastAsia" w:ascii="仿宋_GB2312" w:hAnsi="仿宋_GB2312" w:eastAsia="仿宋_GB2312" w:cs="仿宋_GB2312"/>
          <w:color w:val="auto"/>
          <w:sz w:val="32"/>
          <w:szCs w:val="32"/>
          <w:highlight w:val="none"/>
          <w:u w:val="none"/>
          <w:lang w:eastAsia="zh-CN"/>
        </w:rPr>
        <w:t>尊重</w:t>
      </w:r>
      <w:r>
        <w:rPr>
          <w:rFonts w:hint="eastAsia" w:ascii="仿宋_GB2312" w:hAnsi="仿宋_GB2312" w:eastAsia="仿宋_GB2312" w:cs="仿宋_GB2312"/>
          <w:color w:val="auto"/>
          <w:sz w:val="32"/>
          <w:szCs w:val="32"/>
          <w:highlight w:val="none"/>
          <w:u w:val="none"/>
        </w:rPr>
        <w:t>个体差异，促进幼儿身心和谐发展</w:t>
      </w:r>
      <w:r>
        <w:rPr>
          <w:rFonts w:hint="eastAsia" w:ascii="仿宋_GB2312" w:hAnsi="仿宋_GB2312" w:eastAsia="仿宋_GB2312" w:cs="仿宋_GB2312"/>
          <w:color w:val="auto"/>
          <w:sz w:val="32"/>
          <w:szCs w:val="32"/>
          <w:highlight w:val="none"/>
          <w:u w:val="none"/>
          <w:lang w:eastAsia="zh-CN"/>
        </w:rPr>
        <w:t>；积极开展</w:t>
      </w:r>
      <w:r>
        <w:rPr>
          <w:rFonts w:hint="eastAsia" w:ascii="仿宋_GB2312" w:hAnsi="仿宋_GB2312" w:eastAsia="仿宋_GB2312" w:cs="仿宋_GB2312"/>
          <w:color w:val="auto"/>
          <w:sz w:val="32"/>
          <w:szCs w:val="32"/>
          <w:highlight w:val="none"/>
          <w:u w:val="none"/>
        </w:rPr>
        <w:t>保教改革</w:t>
      </w:r>
      <w:r>
        <w:rPr>
          <w:rFonts w:hint="eastAsia" w:ascii="仿宋_GB2312" w:hAnsi="仿宋_GB2312" w:eastAsia="仿宋_GB2312" w:cs="仿宋_GB2312"/>
          <w:color w:val="auto"/>
          <w:sz w:val="32"/>
          <w:szCs w:val="32"/>
          <w:highlight w:val="none"/>
          <w:u w:val="none"/>
          <w:lang w:eastAsia="zh-CN"/>
        </w:rPr>
        <w:t>和管理创新，</w:t>
      </w:r>
      <w:r>
        <w:rPr>
          <w:rFonts w:hint="eastAsia" w:ascii="仿宋_GB2312" w:hAnsi="仿宋_GB2312" w:eastAsia="仿宋_GB2312" w:cs="仿宋_GB2312"/>
          <w:color w:val="auto"/>
          <w:sz w:val="32"/>
          <w:szCs w:val="32"/>
          <w:highlight w:val="none"/>
          <w:u w:val="none"/>
        </w:rPr>
        <w:t>主动承担省、市</w:t>
      </w:r>
      <w:r>
        <w:rPr>
          <w:rFonts w:hint="eastAsia" w:ascii="仿宋_GB2312" w:hAnsi="仿宋_GB2312" w:eastAsia="仿宋_GB2312" w:cs="仿宋_GB2312"/>
          <w:color w:val="auto"/>
          <w:sz w:val="32"/>
          <w:szCs w:val="32"/>
          <w:highlight w:val="none"/>
          <w:u w:val="none"/>
          <w:lang w:eastAsia="zh-CN"/>
        </w:rPr>
        <w:t>改革实验项目和</w:t>
      </w:r>
      <w:r>
        <w:rPr>
          <w:rFonts w:hint="eastAsia" w:ascii="仿宋_GB2312" w:hAnsi="仿宋_GB2312" w:eastAsia="仿宋_GB2312" w:cs="仿宋_GB2312"/>
          <w:color w:val="auto"/>
          <w:sz w:val="32"/>
          <w:szCs w:val="32"/>
          <w:highlight w:val="none"/>
          <w:u w:val="none"/>
        </w:rPr>
        <w:t>教科研</w:t>
      </w:r>
      <w:r>
        <w:rPr>
          <w:rFonts w:hint="eastAsia" w:ascii="仿宋_GB2312" w:hAnsi="仿宋_GB2312" w:eastAsia="仿宋_GB2312" w:cs="仿宋_GB2312"/>
          <w:color w:val="auto"/>
          <w:sz w:val="32"/>
          <w:szCs w:val="32"/>
          <w:highlight w:val="none"/>
          <w:u w:val="none"/>
          <w:lang w:eastAsia="zh-CN"/>
        </w:rPr>
        <w:t>任务</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凝练可复制、可推广的改革实验成果，通过片区教研、教学开放、乡村小规模学校附设幼儿园（班）精准帮扶等机制，充分发挥示范辐射作用；</w:t>
      </w:r>
      <w:r>
        <w:rPr>
          <w:rFonts w:hint="eastAsia" w:ascii="仿宋_GB2312" w:hAnsi="仿宋_GB2312" w:eastAsia="仿宋_GB2312" w:cs="仿宋_GB2312"/>
          <w:color w:val="auto"/>
          <w:sz w:val="32"/>
          <w:szCs w:val="32"/>
          <w:highlight w:val="none"/>
          <w:u w:val="none"/>
        </w:rPr>
        <w:t>积极探索家</w:t>
      </w:r>
      <w:r>
        <w:rPr>
          <w:rFonts w:hint="eastAsia" w:ascii="仿宋_GB2312" w:hAnsi="仿宋_GB2312" w:eastAsia="仿宋_GB2312" w:cs="仿宋_GB2312"/>
          <w:color w:val="auto"/>
          <w:sz w:val="32"/>
          <w:szCs w:val="32"/>
          <w:highlight w:val="none"/>
          <w:u w:val="none"/>
          <w:lang w:eastAsia="zh-CN"/>
        </w:rPr>
        <w:t>园</w:t>
      </w:r>
      <w:r>
        <w:rPr>
          <w:rFonts w:hint="eastAsia" w:ascii="仿宋_GB2312" w:hAnsi="仿宋_GB2312" w:eastAsia="仿宋_GB2312" w:cs="仿宋_GB2312"/>
          <w:color w:val="auto"/>
          <w:sz w:val="32"/>
          <w:szCs w:val="32"/>
          <w:highlight w:val="none"/>
          <w:u w:val="none"/>
        </w:rPr>
        <w:t>共育</w:t>
      </w:r>
      <w:r>
        <w:rPr>
          <w:rFonts w:hint="eastAsia" w:ascii="仿宋_GB2312" w:hAnsi="仿宋_GB2312" w:eastAsia="仿宋_GB2312" w:cs="仿宋_GB2312"/>
          <w:color w:val="auto"/>
          <w:sz w:val="32"/>
          <w:szCs w:val="32"/>
          <w:highlight w:val="none"/>
          <w:u w:val="none"/>
          <w:lang w:eastAsia="zh-CN"/>
        </w:rPr>
        <w:t>和社区共建</w:t>
      </w:r>
      <w:r>
        <w:rPr>
          <w:rFonts w:hint="eastAsia" w:ascii="仿宋_GB2312" w:hAnsi="仿宋_GB2312" w:eastAsia="仿宋_GB2312" w:cs="仿宋_GB2312"/>
          <w:color w:val="auto"/>
          <w:sz w:val="32"/>
          <w:szCs w:val="32"/>
          <w:highlight w:val="none"/>
          <w:u w:val="none"/>
        </w:rPr>
        <w:t>，面向幼儿家长提供科学育儿指导，向社会传播科学的教育理念，营造学前教育发展的良好社会氛围。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六、示范性幼儿园的管理</w:t>
      </w:r>
    </w:p>
    <w:p>
      <w:pPr>
        <w:pStyle w:val="4"/>
        <w:keepNext w:val="0"/>
        <w:keepLines w:val="0"/>
        <w:pageBreakBefore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kern w:val="2"/>
          <w:sz w:val="32"/>
          <w:szCs w:val="32"/>
          <w:highlight w:val="none"/>
          <w:u w:val="none"/>
          <w:lang w:val="en-US" w:eastAsia="zh-CN" w:bidi="ar-SA"/>
        </w:rPr>
        <w:t>（一）完善新一轮幼儿园发展规划。</w:t>
      </w:r>
      <w:r>
        <w:rPr>
          <w:rFonts w:hint="eastAsia" w:ascii="仿宋_GB2312" w:hAnsi="仿宋_GB2312" w:eastAsia="仿宋_GB2312" w:cs="仿宋_GB2312"/>
          <w:color w:val="auto"/>
          <w:sz w:val="32"/>
          <w:szCs w:val="32"/>
          <w:highlight w:val="none"/>
          <w:u w:val="none"/>
          <w:lang w:eastAsia="zh-CN"/>
        </w:rPr>
        <w:t>凡确认为省级示范性幼儿园的园所，要发挥全员的力量，</w:t>
      </w:r>
      <w:r>
        <w:rPr>
          <w:rFonts w:hint="eastAsia" w:ascii="仿宋_GB2312" w:hAnsi="仿宋_GB2312" w:eastAsia="仿宋_GB2312" w:cs="仿宋_GB2312"/>
          <w:color w:val="auto"/>
          <w:kern w:val="2"/>
          <w:sz w:val="32"/>
          <w:szCs w:val="32"/>
          <w:highlight w:val="none"/>
          <w:u w:val="none"/>
          <w:lang w:val="en-US" w:eastAsia="zh-CN" w:bidi="ar-SA"/>
        </w:rPr>
        <w:t>梳理分析幼儿园现状基础，准确定位发展目标，制定实施新一轮发展规划（3-5年），完善实施过程监控和适时调整机制，推动幼儿园在新的起点上加快发展。</w:t>
      </w:r>
    </w:p>
    <w:p>
      <w:pPr>
        <w:pStyle w:val="4"/>
        <w:keepNext w:val="0"/>
        <w:keepLines w:val="0"/>
        <w:pageBreakBefore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楷体_GB2312" w:hAnsi="楷体_GB2312" w:eastAsia="楷体_GB2312" w:cs="楷体_GB2312"/>
          <w:b/>
          <w:bCs/>
          <w:color w:val="auto"/>
          <w:kern w:val="2"/>
          <w:sz w:val="32"/>
          <w:szCs w:val="32"/>
          <w:highlight w:val="none"/>
          <w:u w:val="none"/>
          <w:lang w:val="en-US" w:eastAsia="zh-CN" w:bidi="ar-SA"/>
        </w:rPr>
        <w:t>（二）建立支持与指导制度。</w:t>
      </w:r>
      <w:r>
        <w:rPr>
          <w:rFonts w:hint="eastAsia" w:ascii="仿宋_GB2312" w:hAnsi="仿宋_GB2312" w:eastAsia="仿宋_GB2312" w:cs="仿宋_GB2312"/>
          <w:color w:val="auto"/>
          <w:sz w:val="32"/>
          <w:szCs w:val="32"/>
          <w:highlight w:val="none"/>
          <w:u w:val="none"/>
        </w:rPr>
        <w:t>各级</w:t>
      </w:r>
      <w:r>
        <w:rPr>
          <w:rFonts w:hint="eastAsia" w:ascii="仿宋_GB2312" w:hAnsi="仿宋_GB2312" w:eastAsia="仿宋_GB2312" w:cs="仿宋_GB2312"/>
          <w:color w:val="auto"/>
          <w:kern w:val="2"/>
          <w:sz w:val="32"/>
          <w:szCs w:val="32"/>
          <w:highlight w:val="none"/>
          <w:u w:val="none"/>
          <w:lang w:val="en-US" w:eastAsia="zh-CN" w:bidi="ar-SA"/>
        </w:rPr>
        <w:t>教育行政部门要重视和加强省级示范性幼儿园的创建、发展与管理工作，在经费投入、保教设施设备配置、师资调配与培训等方面给予支持，并进行经常性的业务检查指导，促进省级示范性幼儿园办园水平不断提高。将幼儿园发展规划的实施和完成情况纳入园长任期目标考核，促进幼儿园管理工作的规范化、科学化和专业化，提高园所依法管理和自主发展的水平。</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楷体_GB2312" w:hAnsi="楷体_GB2312" w:eastAsia="楷体_GB2312" w:cs="楷体_GB2312"/>
          <w:b/>
          <w:bCs/>
          <w:color w:val="auto"/>
          <w:kern w:val="2"/>
          <w:sz w:val="32"/>
          <w:szCs w:val="32"/>
          <w:highlight w:val="none"/>
          <w:u w:val="none"/>
          <w:lang w:val="en-US" w:eastAsia="zh-CN" w:bidi="ar-SA"/>
        </w:rPr>
        <w:t>（三）实行动态管理制度。</w:t>
      </w:r>
      <w:r>
        <w:rPr>
          <w:rFonts w:hint="eastAsia" w:ascii="仿宋_GB2312" w:hAnsi="仿宋_GB2312" w:eastAsia="仿宋_GB2312" w:cs="仿宋_GB2312"/>
          <w:color w:val="auto"/>
          <w:kern w:val="2"/>
          <w:sz w:val="32"/>
          <w:szCs w:val="32"/>
          <w:highlight w:val="none"/>
          <w:u w:val="none"/>
          <w:lang w:val="en-US" w:eastAsia="zh-CN" w:bidi="ar-SA"/>
        </w:rPr>
        <w:t>省级示范幼儿园实行动态管理。对往年已</w:t>
      </w:r>
      <w:r>
        <w:rPr>
          <w:rFonts w:hint="eastAsia" w:ascii="仿宋_GB2312" w:hAnsi="仿宋_GB2312" w:eastAsia="仿宋_GB2312" w:cs="仿宋_GB2312"/>
          <w:color w:val="auto"/>
          <w:sz w:val="32"/>
          <w:szCs w:val="32"/>
          <w:highlight w:val="none"/>
          <w:u w:val="none"/>
        </w:rPr>
        <w:t>确认</w:t>
      </w:r>
      <w:r>
        <w:rPr>
          <w:rFonts w:hint="eastAsia" w:ascii="仿宋_GB2312" w:hAnsi="仿宋_GB2312" w:eastAsia="仿宋_GB2312" w:cs="仿宋_GB2312"/>
          <w:color w:val="auto"/>
          <w:kern w:val="2"/>
          <w:sz w:val="32"/>
          <w:szCs w:val="32"/>
          <w:highlight w:val="none"/>
          <w:u w:val="none"/>
          <w:lang w:val="en-US" w:eastAsia="zh-CN" w:bidi="ar-SA"/>
        </w:rPr>
        <w:t>的</w:t>
      </w:r>
      <w:r>
        <w:rPr>
          <w:rFonts w:hint="eastAsia" w:ascii="仿宋_GB2312" w:hAnsi="仿宋_GB2312" w:eastAsia="仿宋_GB2312" w:cs="仿宋_GB2312"/>
          <w:color w:val="auto"/>
          <w:sz w:val="32"/>
          <w:szCs w:val="32"/>
          <w:highlight w:val="none"/>
          <w:u w:val="none"/>
          <w:lang w:eastAsia="zh-CN"/>
        </w:rPr>
        <w:t>省级示</w:t>
      </w:r>
      <w:r>
        <w:rPr>
          <w:rFonts w:hint="eastAsia" w:ascii="仿宋_GB2312" w:hAnsi="仿宋_GB2312" w:eastAsia="仿宋_GB2312" w:cs="仿宋_GB2312"/>
          <w:color w:val="auto"/>
          <w:sz w:val="32"/>
          <w:szCs w:val="32"/>
          <w:highlight w:val="none"/>
          <w:u w:val="none"/>
        </w:rPr>
        <w:t>范性幼儿园</w:t>
      </w:r>
      <w:r>
        <w:rPr>
          <w:rFonts w:hint="eastAsia" w:ascii="仿宋_GB2312" w:hAnsi="仿宋_GB2312" w:eastAsia="仿宋_GB2312" w:cs="仿宋_GB2312"/>
          <w:color w:val="auto"/>
          <w:kern w:val="2"/>
          <w:sz w:val="32"/>
          <w:szCs w:val="32"/>
          <w:highlight w:val="none"/>
          <w:u w:val="none"/>
          <w:lang w:val="en-US" w:eastAsia="zh-CN" w:bidi="ar-SA"/>
        </w:rPr>
        <w:t>，省教育厅每年</w:t>
      </w:r>
      <w:r>
        <w:rPr>
          <w:rFonts w:hint="eastAsia" w:ascii="仿宋_GB2312" w:hAnsi="仿宋_GB2312" w:eastAsia="仿宋_GB2312" w:cs="仿宋_GB2312"/>
          <w:color w:val="auto"/>
          <w:sz w:val="32"/>
          <w:szCs w:val="32"/>
          <w:highlight w:val="none"/>
          <w:u w:val="none"/>
        </w:rPr>
        <w:t>组织复查</w:t>
      </w:r>
      <w:r>
        <w:rPr>
          <w:rFonts w:hint="eastAsia" w:ascii="仿宋_GB2312" w:hAnsi="仿宋_GB2312" w:eastAsia="仿宋_GB2312" w:cs="仿宋_GB2312"/>
          <w:color w:val="auto"/>
          <w:sz w:val="32"/>
          <w:szCs w:val="32"/>
          <w:highlight w:val="none"/>
          <w:u w:val="none"/>
          <w:lang w:eastAsia="zh-CN"/>
        </w:rPr>
        <w:t>一批</w:t>
      </w:r>
      <w:r>
        <w:rPr>
          <w:rFonts w:hint="eastAsia" w:ascii="仿宋_GB2312" w:hAnsi="仿宋_GB2312" w:eastAsia="仿宋_GB2312" w:cs="仿宋_GB2312"/>
          <w:color w:val="auto"/>
          <w:sz w:val="32"/>
          <w:szCs w:val="32"/>
          <w:highlight w:val="none"/>
          <w:u w:val="none"/>
        </w:rPr>
        <w:t>，并根据需要</w:t>
      </w:r>
      <w:r>
        <w:rPr>
          <w:rFonts w:hint="eastAsia" w:ascii="仿宋_GB2312" w:hAnsi="仿宋_GB2312" w:eastAsia="仿宋_GB2312" w:cs="仿宋_GB2312"/>
          <w:color w:val="auto"/>
          <w:kern w:val="2"/>
          <w:sz w:val="32"/>
          <w:szCs w:val="32"/>
          <w:highlight w:val="none"/>
          <w:u w:val="none"/>
          <w:lang w:val="en-US" w:eastAsia="zh-CN" w:bidi="ar-SA"/>
        </w:rPr>
        <w:t>采取随机、不定期的方式</w:t>
      </w:r>
      <w:r>
        <w:rPr>
          <w:rFonts w:hint="eastAsia" w:ascii="仿宋_GB2312" w:hAnsi="仿宋_GB2312" w:eastAsia="仿宋_GB2312" w:cs="仿宋_GB2312"/>
          <w:color w:val="auto"/>
          <w:sz w:val="32"/>
          <w:szCs w:val="32"/>
          <w:highlight w:val="none"/>
          <w:u w:val="none"/>
        </w:rPr>
        <w:t>开展专项督查</w:t>
      </w:r>
      <w:r>
        <w:rPr>
          <w:rFonts w:hint="eastAsia" w:ascii="仿宋_GB2312" w:hAnsi="仿宋_GB2312" w:eastAsia="仿宋_GB2312" w:cs="仿宋_GB2312"/>
          <w:color w:val="auto"/>
          <w:kern w:val="2"/>
          <w:sz w:val="32"/>
          <w:szCs w:val="32"/>
          <w:highlight w:val="none"/>
          <w:u w:val="none"/>
          <w:lang w:val="en-US" w:eastAsia="zh-CN" w:bidi="ar-SA"/>
        </w:rPr>
        <w:t>，</w:t>
      </w:r>
      <w:r>
        <w:rPr>
          <w:rFonts w:hint="eastAsia" w:ascii="仿宋_GB2312" w:hAnsi="仿宋_GB2312" w:eastAsia="仿宋_GB2312" w:cs="仿宋_GB2312"/>
          <w:color w:val="auto"/>
          <w:sz w:val="32"/>
          <w:szCs w:val="32"/>
          <w:highlight w:val="none"/>
          <w:u w:val="none"/>
          <w:lang w:eastAsia="zh-CN"/>
        </w:rPr>
        <w:t>逐步实现复查检查全覆盖，</w:t>
      </w:r>
      <w:r>
        <w:rPr>
          <w:rFonts w:hint="eastAsia" w:ascii="仿宋_GB2312" w:hAnsi="仿宋_GB2312" w:eastAsia="仿宋_GB2312" w:cs="仿宋_GB2312"/>
          <w:color w:val="auto"/>
          <w:sz w:val="32"/>
          <w:szCs w:val="32"/>
          <w:highlight w:val="none"/>
          <w:u w:val="none"/>
        </w:rPr>
        <w:t>对实际已达不到</w:t>
      </w:r>
      <w:r>
        <w:rPr>
          <w:rFonts w:hint="eastAsia" w:ascii="仿宋_GB2312" w:hAnsi="仿宋_GB2312" w:eastAsia="仿宋_GB2312" w:cs="仿宋_GB2312"/>
          <w:color w:val="auto"/>
          <w:sz w:val="32"/>
          <w:szCs w:val="32"/>
          <w:highlight w:val="none"/>
          <w:u w:val="none"/>
          <w:lang w:eastAsia="zh-CN"/>
        </w:rPr>
        <w:t>省级示</w:t>
      </w:r>
      <w:r>
        <w:rPr>
          <w:rFonts w:hint="eastAsia" w:ascii="仿宋_GB2312" w:hAnsi="仿宋_GB2312" w:eastAsia="仿宋_GB2312" w:cs="仿宋_GB2312"/>
          <w:color w:val="auto"/>
          <w:sz w:val="32"/>
          <w:szCs w:val="32"/>
          <w:highlight w:val="none"/>
          <w:u w:val="none"/>
        </w:rPr>
        <w:t>范性幼儿园评估标准的园所，将责成幼儿园限期整改，经一年整改后仍达不到标准的，将取消</w:t>
      </w:r>
      <w:r>
        <w:rPr>
          <w:rFonts w:hint="eastAsia" w:ascii="仿宋_GB2312" w:hAnsi="仿宋_GB2312" w:eastAsia="仿宋_GB2312" w:cs="仿宋_GB2312"/>
          <w:color w:val="auto"/>
          <w:sz w:val="32"/>
          <w:szCs w:val="32"/>
          <w:highlight w:val="none"/>
          <w:u w:val="none"/>
          <w:lang w:eastAsia="zh-CN"/>
        </w:rPr>
        <w:t>省级示</w:t>
      </w:r>
      <w:r>
        <w:rPr>
          <w:rFonts w:hint="eastAsia" w:ascii="仿宋_GB2312" w:hAnsi="仿宋_GB2312" w:eastAsia="仿宋_GB2312" w:cs="仿宋_GB2312"/>
          <w:color w:val="auto"/>
          <w:sz w:val="32"/>
          <w:szCs w:val="32"/>
          <w:highlight w:val="none"/>
          <w:u w:val="none"/>
        </w:rPr>
        <w:t>范性幼儿园称号</w:t>
      </w:r>
      <w:r>
        <w:rPr>
          <w:rFonts w:hint="eastAsia" w:ascii="仿宋_GB2312" w:hAnsi="仿宋_GB2312" w:eastAsia="仿宋_GB2312" w:cs="仿宋_GB2312"/>
          <w:color w:val="auto"/>
          <w:sz w:val="32"/>
          <w:szCs w:val="32"/>
          <w:highlight w:val="none"/>
          <w:u w:val="none"/>
          <w:lang w:eastAsia="zh-CN"/>
        </w:rPr>
        <w:t>。对办学问题较多、质量严重滑坡的幼儿园直接撤销省级示</w:t>
      </w:r>
      <w:r>
        <w:rPr>
          <w:rFonts w:hint="eastAsia" w:ascii="仿宋_GB2312" w:hAnsi="仿宋_GB2312" w:eastAsia="仿宋_GB2312" w:cs="仿宋_GB2312"/>
          <w:color w:val="auto"/>
          <w:sz w:val="32"/>
          <w:szCs w:val="32"/>
          <w:highlight w:val="none"/>
          <w:u w:val="none"/>
        </w:rPr>
        <w:t>范性幼儿园称号</w:t>
      </w:r>
      <w:r>
        <w:rPr>
          <w:rFonts w:hint="eastAsia" w:ascii="仿宋_GB2312" w:hAnsi="仿宋_GB2312" w:eastAsia="仿宋_GB2312" w:cs="仿宋_GB2312"/>
          <w:color w:val="auto"/>
          <w:sz w:val="32"/>
          <w:szCs w:val="32"/>
          <w:highlight w:val="none"/>
          <w:u w:val="none"/>
          <w:lang w:eastAsia="zh-CN"/>
        </w:rPr>
        <w:t>。被撤销省级示范性幼儿园称号的园所，自撤销称</w:t>
      </w:r>
      <w:r>
        <w:rPr>
          <w:rFonts w:hint="eastAsia" w:ascii="仿宋_GB2312" w:hAnsi="仿宋_GB2312" w:eastAsia="仿宋_GB2312" w:cs="仿宋_GB2312"/>
          <w:color w:val="auto"/>
          <w:sz w:val="32"/>
          <w:szCs w:val="32"/>
          <w:highlight w:val="none"/>
          <w:u w:val="none"/>
        </w:rPr>
        <w:t>号之日起3年内不得重新申报省级示范性幼儿园。</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此外，</w:t>
      </w:r>
      <w:r>
        <w:rPr>
          <w:rFonts w:hint="eastAsia" w:ascii="仿宋_GB2312" w:hAnsi="仿宋_GB2312" w:eastAsia="仿宋_GB2312" w:cs="仿宋_GB2312"/>
          <w:color w:val="auto"/>
          <w:sz w:val="32"/>
          <w:szCs w:val="32"/>
          <w:highlight w:val="none"/>
          <w:u w:val="none"/>
        </w:rPr>
        <w:t>有下列情形之一者，一经核实，将视情节轻重给予其限期整改或撤销其</w:t>
      </w:r>
      <w:r>
        <w:rPr>
          <w:rFonts w:hint="eastAsia" w:ascii="仿宋_GB2312" w:hAnsi="仿宋_GB2312" w:eastAsia="仿宋_GB2312" w:cs="仿宋_GB2312"/>
          <w:color w:val="auto"/>
          <w:sz w:val="32"/>
          <w:szCs w:val="32"/>
          <w:highlight w:val="none"/>
          <w:u w:val="none"/>
          <w:lang w:eastAsia="zh-CN"/>
        </w:rPr>
        <w:t>省级示</w:t>
      </w:r>
      <w:r>
        <w:rPr>
          <w:rFonts w:hint="eastAsia" w:ascii="仿宋_GB2312" w:hAnsi="仿宋_GB2312" w:eastAsia="仿宋_GB2312" w:cs="仿宋_GB2312"/>
          <w:color w:val="auto"/>
          <w:sz w:val="32"/>
          <w:szCs w:val="32"/>
          <w:highlight w:val="none"/>
          <w:u w:val="none"/>
        </w:rPr>
        <w:t>范性幼儿园称号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党的建设工作松散，办学思想存在严重问题，办学方向偏离党的教育方针；</w:t>
      </w:r>
      <w:r>
        <w:rPr>
          <w:rFonts w:hint="eastAsia" w:ascii="仿宋_GB2312" w:hAnsi="仿宋_GB2312" w:eastAsia="仿宋_GB2312" w:cs="仿宋_GB2312"/>
          <w:color w:val="auto"/>
          <w:sz w:val="32"/>
          <w:szCs w:val="32"/>
          <w:highlight w:val="none"/>
          <w:u w:val="none"/>
          <w:lang w:eastAsia="zh-CN"/>
        </w:rPr>
        <w:t>近三年</w:t>
      </w:r>
      <w:r>
        <w:rPr>
          <w:rFonts w:hint="eastAsia" w:ascii="仿宋_GB2312" w:hAnsi="仿宋_GB2312" w:eastAsia="仿宋_GB2312" w:cs="仿宋_GB2312"/>
          <w:color w:val="auto"/>
          <w:sz w:val="32"/>
          <w:szCs w:val="32"/>
          <w:highlight w:val="none"/>
          <w:u w:val="none"/>
        </w:rPr>
        <w:t>发生重大</w:t>
      </w:r>
      <w:r>
        <w:rPr>
          <w:rFonts w:hint="eastAsia" w:ascii="仿宋_GB2312" w:hAnsi="仿宋_GB2312" w:eastAsia="仿宋_GB2312" w:cs="仿宋_GB2312"/>
          <w:color w:val="auto"/>
          <w:sz w:val="32"/>
          <w:szCs w:val="32"/>
          <w:highlight w:val="none"/>
          <w:u w:val="none"/>
          <w:lang w:eastAsia="zh-CN"/>
        </w:rPr>
        <w:t>安全</w:t>
      </w:r>
      <w:r>
        <w:rPr>
          <w:rFonts w:hint="eastAsia" w:ascii="仿宋_GB2312" w:hAnsi="仿宋_GB2312" w:eastAsia="仿宋_GB2312" w:cs="仿宋_GB2312"/>
          <w:color w:val="auto"/>
          <w:sz w:val="32"/>
          <w:szCs w:val="32"/>
          <w:highlight w:val="none"/>
          <w:u w:val="none"/>
        </w:rPr>
        <w:t>责任事故和违法行为</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规模和班额过大</w:t>
      </w:r>
      <w:r>
        <w:rPr>
          <w:rFonts w:hint="eastAsia" w:ascii="仿宋_GB2312" w:hAnsi="仿宋_GB2312" w:eastAsia="仿宋_GB2312" w:cs="仿宋_GB2312"/>
          <w:color w:val="auto"/>
          <w:sz w:val="32"/>
          <w:szCs w:val="32"/>
          <w:highlight w:val="none"/>
          <w:u w:val="none"/>
          <w:lang w:eastAsia="zh-CN"/>
        </w:rPr>
        <w:t>；严重</w:t>
      </w:r>
      <w:r>
        <w:rPr>
          <w:rFonts w:hint="eastAsia" w:ascii="仿宋_GB2312" w:hAnsi="仿宋_GB2312" w:eastAsia="仿宋_GB2312" w:cs="仿宋_GB2312"/>
          <w:color w:val="auto"/>
          <w:sz w:val="32"/>
          <w:szCs w:val="32"/>
          <w:highlight w:val="none"/>
          <w:u w:val="none"/>
        </w:rPr>
        <w:t>违背学前儿童</w:t>
      </w:r>
      <w:bookmarkStart w:id="0" w:name="baidusnap3"/>
      <w:bookmarkEnd w:id="0"/>
      <w:r>
        <w:rPr>
          <w:rFonts w:hint="eastAsia" w:ascii="仿宋_GB2312" w:hAnsi="仿宋_GB2312" w:eastAsia="仿宋_GB2312" w:cs="仿宋_GB2312"/>
          <w:color w:val="auto"/>
          <w:sz w:val="32"/>
          <w:szCs w:val="32"/>
          <w:highlight w:val="none"/>
          <w:u w:val="none"/>
        </w:rPr>
        <w:t>身心发展规律，</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小学化</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倾向严重</w:t>
      </w:r>
      <w:r>
        <w:rPr>
          <w:rFonts w:hint="eastAsia" w:ascii="仿宋_GB2312" w:hAnsi="仿宋_GB2312" w:eastAsia="仿宋_GB2312" w:cs="仿宋_GB2312"/>
          <w:color w:val="auto"/>
          <w:sz w:val="32"/>
          <w:szCs w:val="32"/>
          <w:highlight w:val="none"/>
          <w:u w:val="none"/>
          <w:lang w:eastAsia="zh-CN"/>
        </w:rPr>
        <w:t>，儿童体质健康水平持续下降</w:t>
      </w:r>
      <w:r>
        <w:rPr>
          <w:rFonts w:hint="eastAsia" w:ascii="仿宋_GB2312" w:hAnsi="仿宋_GB2312" w:eastAsia="仿宋_GB2312" w:cs="仿宋_GB2312"/>
          <w:color w:val="auto"/>
          <w:sz w:val="32"/>
          <w:szCs w:val="32"/>
          <w:highlight w:val="none"/>
          <w:u w:val="none"/>
        </w:rPr>
        <w:t>；违反政策规定乱收费、</w:t>
      </w:r>
      <w:r>
        <w:rPr>
          <w:rFonts w:hint="eastAsia" w:ascii="仿宋_GB2312" w:hAnsi="仿宋_GB2312" w:eastAsia="仿宋_GB2312" w:cs="仿宋_GB2312"/>
          <w:color w:val="auto"/>
          <w:sz w:val="32"/>
          <w:szCs w:val="32"/>
          <w:highlight w:val="none"/>
          <w:u w:val="none"/>
          <w:lang w:eastAsia="zh-CN"/>
        </w:rPr>
        <w:t>乱征订学生用书</w:t>
      </w:r>
      <w:r>
        <w:rPr>
          <w:rFonts w:hint="eastAsia" w:ascii="仿宋_GB2312" w:hAnsi="仿宋_GB2312" w:eastAsia="仿宋_GB2312" w:cs="仿宋_GB2312"/>
          <w:color w:val="auto"/>
          <w:sz w:val="32"/>
          <w:szCs w:val="32"/>
          <w:highlight w:val="none"/>
          <w:u w:val="none"/>
        </w:rPr>
        <w:t>或存在其他严重管理问题</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有猥亵、虐待、伤害幼儿等违背师德的行为，情节恶</w:t>
      </w:r>
      <w:r>
        <w:rPr>
          <w:rFonts w:hint="eastAsia" w:ascii="仿宋_GB2312" w:hAnsi="仿宋_GB2312" w:eastAsia="仿宋_GB2312" w:cs="仿宋_GB2312"/>
          <w:color w:val="auto"/>
          <w:sz w:val="32"/>
          <w:szCs w:val="32"/>
          <w:highlight w:val="none"/>
          <w:u w:val="none"/>
          <w:lang w:eastAsia="zh-CN"/>
        </w:rPr>
        <w:t>劣、造成严重后果；以弄虚作假手段骗取省级示范性幼儿园称号；其他由于幼儿园主观原因造成恶劣社会影响。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七、实施时间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2022年起新申报</w:t>
      </w:r>
      <w:r>
        <w:rPr>
          <w:rFonts w:hint="eastAsia" w:ascii="仿宋_GB2312" w:hAnsi="仿宋_GB2312" w:eastAsia="仿宋_GB2312" w:cs="仿宋_GB2312"/>
          <w:color w:val="auto"/>
          <w:sz w:val="32"/>
          <w:szCs w:val="32"/>
          <w:highlight w:val="none"/>
          <w:u w:val="none"/>
          <w:lang w:eastAsia="zh-CN"/>
        </w:rPr>
        <w:t>省级示</w:t>
      </w:r>
      <w:r>
        <w:rPr>
          <w:rFonts w:hint="eastAsia" w:ascii="仿宋_GB2312" w:hAnsi="仿宋_GB2312" w:eastAsia="仿宋_GB2312" w:cs="仿宋_GB2312"/>
          <w:color w:val="auto"/>
          <w:sz w:val="32"/>
          <w:szCs w:val="32"/>
          <w:highlight w:val="none"/>
          <w:u w:val="none"/>
        </w:rPr>
        <w:t>范性幼儿园评估</w:t>
      </w:r>
      <w:r>
        <w:rPr>
          <w:rFonts w:hint="eastAsia" w:ascii="仿宋_GB2312" w:hAnsi="仿宋_GB2312" w:eastAsia="仿宋_GB2312" w:cs="仿宋_GB2312"/>
          <w:color w:val="auto"/>
          <w:sz w:val="32"/>
          <w:szCs w:val="32"/>
          <w:highlight w:val="none"/>
          <w:u w:val="none"/>
          <w:lang w:eastAsia="zh-CN"/>
        </w:rPr>
        <w:t>验收的幼儿园按照本文件</w:t>
      </w:r>
      <w:r>
        <w:rPr>
          <w:rFonts w:hint="eastAsia" w:ascii="仿宋_GB2312" w:hAnsi="仿宋_GB2312" w:eastAsia="仿宋_GB2312" w:cs="仿宋_GB2312"/>
          <w:color w:val="auto"/>
          <w:sz w:val="32"/>
          <w:szCs w:val="32"/>
          <w:highlight w:val="none"/>
          <w:u w:val="none"/>
        </w:rPr>
        <w:t>执行。原省教育厅印发的《福建省示范性幼儿园评估办法（试行）》和《福建省示范性幼儿园评估标准（试行）》（闽教基〔2008〕41号）同时废止。</w:t>
      </w:r>
    </w:p>
    <w:p>
      <w:pPr>
        <w:pStyle w:val="2"/>
        <w:rPr>
          <w:rFonts w:hint="eastAsia" w:ascii="仿宋_GB2312" w:hAnsi="仿宋_GB2312" w:eastAsia="仿宋_GB2312" w:cs="仿宋_GB2312"/>
          <w:color w:val="auto"/>
          <w:sz w:val="32"/>
          <w:szCs w:val="32"/>
          <w:highlight w:val="none"/>
          <w:u w:val="none"/>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color w:val="auto"/>
          <w:sz w:val="32"/>
          <w:szCs w:val="32"/>
          <w:u w:val="none"/>
          <w:lang w:eastAsia="zh-CN"/>
        </w:rPr>
      </w:pPr>
      <w:bookmarkStart w:id="1" w:name="_GoBack"/>
      <w:bookmarkEnd w:id="1"/>
    </w:p>
    <w:sectPr>
      <w:footerReference r:id="rId3" w:type="default"/>
      <w:pgSz w:w="11906" w:h="16838"/>
      <w:pgMar w:top="1928" w:right="1474" w:bottom="1701" w:left="1588" w:header="964" w:footer="133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Bookman Old Style">
    <w:altName w:val="Segoe Print"/>
    <w:panose1 w:val="02050604050505020204"/>
    <w:charset w:val="00"/>
    <w:family w:val="roman"/>
    <w:pitch w:val="default"/>
    <w:sig w:usb0="00000000"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JhengHeiBold">
    <w:altName w:val="宋体"/>
    <w:panose1 w:val="00000000000000000000"/>
    <w:charset w:val="00"/>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53FB12C"/>
    <w:rsid w:val="035A34F8"/>
    <w:rsid w:val="09962501"/>
    <w:rsid w:val="0DFEEB5C"/>
    <w:rsid w:val="0EFE6CFF"/>
    <w:rsid w:val="16FB66E0"/>
    <w:rsid w:val="17FFF268"/>
    <w:rsid w:val="1CFF78CD"/>
    <w:rsid w:val="1F590F18"/>
    <w:rsid w:val="1FBFA7E7"/>
    <w:rsid w:val="1FDED7AB"/>
    <w:rsid w:val="1FF2D7C1"/>
    <w:rsid w:val="1FFFFA2B"/>
    <w:rsid w:val="20FF3720"/>
    <w:rsid w:val="25F7EB3E"/>
    <w:rsid w:val="279BF0CA"/>
    <w:rsid w:val="2B7D22CB"/>
    <w:rsid w:val="2C623AF3"/>
    <w:rsid w:val="2CD81225"/>
    <w:rsid w:val="2E5E3AD3"/>
    <w:rsid w:val="2F57128F"/>
    <w:rsid w:val="2FB2FD48"/>
    <w:rsid w:val="2FEF03A9"/>
    <w:rsid w:val="375FCAF6"/>
    <w:rsid w:val="37EB4FD3"/>
    <w:rsid w:val="37F64E7D"/>
    <w:rsid w:val="39EF484D"/>
    <w:rsid w:val="3B378969"/>
    <w:rsid w:val="3BFB1AB8"/>
    <w:rsid w:val="3BFD2B8C"/>
    <w:rsid w:val="3CEDB4AE"/>
    <w:rsid w:val="3DB672CD"/>
    <w:rsid w:val="3ED82EDF"/>
    <w:rsid w:val="3EF6E363"/>
    <w:rsid w:val="3F9120AD"/>
    <w:rsid w:val="3F9E8E1E"/>
    <w:rsid w:val="3FF93A9B"/>
    <w:rsid w:val="42B6A8F7"/>
    <w:rsid w:val="43D5876D"/>
    <w:rsid w:val="4BADED21"/>
    <w:rsid w:val="4CC82FCA"/>
    <w:rsid w:val="4CDFF892"/>
    <w:rsid w:val="4EFDEC58"/>
    <w:rsid w:val="4FBD6BB4"/>
    <w:rsid w:val="4FF7AEBE"/>
    <w:rsid w:val="56FD69FA"/>
    <w:rsid w:val="56FE8BFB"/>
    <w:rsid w:val="57C5B60E"/>
    <w:rsid w:val="58F6B7AD"/>
    <w:rsid w:val="5A752474"/>
    <w:rsid w:val="5A7D16FB"/>
    <w:rsid w:val="5B9A77B1"/>
    <w:rsid w:val="5BFE8B12"/>
    <w:rsid w:val="5D7FA4EB"/>
    <w:rsid w:val="5DCB62FE"/>
    <w:rsid w:val="5F6D662E"/>
    <w:rsid w:val="5F7D6CA4"/>
    <w:rsid w:val="5FB7027B"/>
    <w:rsid w:val="5FF55DC0"/>
    <w:rsid w:val="5FFF7BAE"/>
    <w:rsid w:val="5FFF90F2"/>
    <w:rsid w:val="63EB81D1"/>
    <w:rsid w:val="654FC358"/>
    <w:rsid w:val="655DF6F3"/>
    <w:rsid w:val="67ADF054"/>
    <w:rsid w:val="6BE7E14C"/>
    <w:rsid w:val="6C9A7C09"/>
    <w:rsid w:val="6DBC9FE2"/>
    <w:rsid w:val="6F683FD8"/>
    <w:rsid w:val="6F7F765B"/>
    <w:rsid w:val="6FBB1B06"/>
    <w:rsid w:val="6FFF6D84"/>
    <w:rsid w:val="72BFB662"/>
    <w:rsid w:val="73CE8B89"/>
    <w:rsid w:val="74E725DF"/>
    <w:rsid w:val="75FB06A9"/>
    <w:rsid w:val="76337C89"/>
    <w:rsid w:val="76662D0E"/>
    <w:rsid w:val="76DF2F6D"/>
    <w:rsid w:val="76EF37E7"/>
    <w:rsid w:val="77533399"/>
    <w:rsid w:val="775E42DB"/>
    <w:rsid w:val="777F67ED"/>
    <w:rsid w:val="77BFB7A2"/>
    <w:rsid w:val="77C7D3EE"/>
    <w:rsid w:val="77DB2A47"/>
    <w:rsid w:val="77ED1C2F"/>
    <w:rsid w:val="77FB7BA1"/>
    <w:rsid w:val="77FDB8F8"/>
    <w:rsid w:val="77FE4A4E"/>
    <w:rsid w:val="77FFC362"/>
    <w:rsid w:val="78FD18B2"/>
    <w:rsid w:val="7A6F3071"/>
    <w:rsid w:val="7AFF49CE"/>
    <w:rsid w:val="7B1768ED"/>
    <w:rsid w:val="7BFB4CE2"/>
    <w:rsid w:val="7BFF375B"/>
    <w:rsid w:val="7C6973BD"/>
    <w:rsid w:val="7C73450E"/>
    <w:rsid w:val="7C7FF036"/>
    <w:rsid w:val="7DD8E399"/>
    <w:rsid w:val="7DFB4198"/>
    <w:rsid w:val="7DFF51B0"/>
    <w:rsid w:val="7E1BCA27"/>
    <w:rsid w:val="7E730DD2"/>
    <w:rsid w:val="7E7B2AE0"/>
    <w:rsid w:val="7EBB5D88"/>
    <w:rsid w:val="7ECF5247"/>
    <w:rsid w:val="7EF9A810"/>
    <w:rsid w:val="7EF9AFF3"/>
    <w:rsid w:val="7EFB183B"/>
    <w:rsid w:val="7EFF4AB4"/>
    <w:rsid w:val="7EFF7825"/>
    <w:rsid w:val="7F33E911"/>
    <w:rsid w:val="7FABD600"/>
    <w:rsid w:val="7FB3D4B8"/>
    <w:rsid w:val="7FB526A7"/>
    <w:rsid w:val="7FB5B1A1"/>
    <w:rsid w:val="7FB76C2F"/>
    <w:rsid w:val="7FB9DEBA"/>
    <w:rsid w:val="7FB9EAA4"/>
    <w:rsid w:val="7FBE3841"/>
    <w:rsid w:val="7FBEBC81"/>
    <w:rsid w:val="7FBFDEE9"/>
    <w:rsid w:val="7FC30531"/>
    <w:rsid w:val="7FDF837C"/>
    <w:rsid w:val="7FE909C9"/>
    <w:rsid w:val="7FECD90A"/>
    <w:rsid w:val="7FEF5458"/>
    <w:rsid w:val="7FF31495"/>
    <w:rsid w:val="7FF79C0F"/>
    <w:rsid w:val="7FFBAC26"/>
    <w:rsid w:val="7FFC5555"/>
    <w:rsid w:val="7FFF5D09"/>
    <w:rsid w:val="91FF960D"/>
    <w:rsid w:val="968CDEA3"/>
    <w:rsid w:val="97EFCA41"/>
    <w:rsid w:val="9BAEAEF7"/>
    <w:rsid w:val="9E4FE9C2"/>
    <w:rsid w:val="9EFD763B"/>
    <w:rsid w:val="9FD71D30"/>
    <w:rsid w:val="9FFD666F"/>
    <w:rsid w:val="A4D83EA2"/>
    <w:rsid w:val="A7BD92B8"/>
    <w:rsid w:val="ACEC367D"/>
    <w:rsid w:val="AD1EAD14"/>
    <w:rsid w:val="AEDB2CB1"/>
    <w:rsid w:val="AEDFB2A7"/>
    <w:rsid w:val="AFBDF659"/>
    <w:rsid w:val="B3DBBA7C"/>
    <w:rsid w:val="B56B3307"/>
    <w:rsid w:val="B5FF109C"/>
    <w:rsid w:val="B72FF8C3"/>
    <w:rsid w:val="B99F36EE"/>
    <w:rsid w:val="BAD7A42D"/>
    <w:rsid w:val="BB772DC5"/>
    <w:rsid w:val="BBFBA995"/>
    <w:rsid w:val="BDAF822D"/>
    <w:rsid w:val="BDD8B5D3"/>
    <w:rsid w:val="BDF2DB84"/>
    <w:rsid w:val="BDF35735"/>
    <w:rsid w:val="BF1D8F46"/>
    <w:rsid w:val="BFB6D439"/>
    <w:rsid w:val="BFBF8582"/>
    <w:rsid w:val="C0CE6300"/>
    <w:rsid w:val="C15CC85D"/>
    <w:rsid w:val="C53FB12C"/>
    <w:rsid w:val="CB1C1E81"/>
    <w:rsid w:val="CFB6E80E"/>
    <w:rsid w:val="CFB91671"/>
    <w:rsid w:val="CFDB1244"/>
    <w:rsid w:val="D49FF8B6"/>
    <w:rsid w:val="D73B00BF"/>
    <w:rsid w:val="D7653D5B"/>
    <w:rsid w:val="D7764841"/>
    <w:rsid w:val="D7FF1E79"/>
    <w:rsid w:val="D97F211D"/>
    <w:rsid w:val="DA1B4583"/>
    <w:rsid w:val="DBAFDB69"/>
    <w:rsid w:val="DBBFDA77"/>
    <w:rsid w:val="DBED79E0"/>
    <w:rsid w:val="DBF388AD"/>
    <w:rsid w:val="DD7DF6DE"/>
    <w:rsid w:val="DDBD701B"/>
    <w:rsid w:val="DDDF71E0"/>
    <w:rsid w:val="DDFB195E"/>
    <w:rsid w:val="DDFB249C"/>
    <w:rsid w:val="DE2F8EBA"/>
    <w:rsid w:val="DEA7168E"/>
    <w:rsid w:val="DFB7C005"/>
    <w:rsid w:val="DFD3A02A"/>
    <w:rsid w:val="DFD5F70E"/>
    <w:rsid w:val="DFD6D1B6"/>
    <w:rsid w:val="E3F33063"/>
    <w:rsid w:val="E3F9A83A"/>
    <w:rsid w:val="E4E56B35"/>
    <w:rsid w:val="E55727C7"/>
    <w:rsid w:val="E5E9C64A"/>
    <w:rsid w:val="E673F2FC"/>
    <w:rsid w:val="E7977357"/>
    <w:rsid w:val="E7FF1EC9"/>
    <w:rsid w:val="E9FF480E"/>
    <w:rsid w:val="EAEFB280"/>
    <w:rsid w:val="EC77E3E2"/>
    <w:rsid w:val="EDEF46C4"/>
    <w:rsid w:val="EEAF6D14"/>
    <w:rsid w:val="EF1E9F3D"/>
    <w:rsid w:val="EF2F4568"/>
    <w:rsid w:val="EF9F1DBA"/>
    <w:rsid w:val="EFBF2E43"/>
    <w:rsid w:val="EFDF24B4"/>
    <w:rsid w:val="EFFF699F"/>
    <w:rsid w:val="F2F6E57E"/>
    <w:rsid w:val="F3BE928F"/>
    <w:rsid w:val="F3FF46BA"/>
    <w:rsid w:val="F3FFE7EC"/>
    <w:rsid w:val="F5931875"/>
    <w:rsid w:val="F5FD1D63"/>
    <w:rsid w:val="F651A114"/>
    <w:rsid w:val="F67DF1A8"/>
    <w:rsid w:val="F6BB4D46"/>
    <w:rsid w:val="F6D53F23"/>
    <w:rsid w:val="F6F7CAE5"/>
    <w:rsid w:val="F74CC6F3"/>
    <w:rsid w:val="F77FE8FC"/>
    <w:rsid w:val="F78F8442"/>
    <w:rsid w:val="F7B801B5"/>
    <w:rsid w:val="F7EFDE94"/>
    <w:rsid w:val="F9F9CC7D"/>
    <w:rsid w:val="FA6EAFEC"/>
    <w:rsid w:val="FAED73DB"/>
    <w:rsid w:val="FAFFD68E"/>
    <w:rsid w:val="FB4B5E42"/>
    <w:rsid w:val="FB4D797B"/>
    <w:rsid w:val="FB531EC8"/>
    <w:rsid w:val="FBBF94EC"/>
    <w:rsid w:val="FBF5018C"/>
    <w:rsid w:val="FBFE0922"/>
    <w:rsid w:val="FBFFA897"/>
    <w:rsid w:val="FCB3CC9A"/>
    <w:rsid w:val="FCDBBAFB"/>
    <w:rsid w:val="FCDFFD62"/>
    <w:rsid w:val="FD437889"/>
    <w:rsid w:val="FD7F94C2"/>
    <w:rsid w:val="FDBBD70F"/>
    <w:rsid w:val="FDCF9CEC"/>
    <w:rsid w:val="FDDFE7F7"/>
    <w:rsid w:val="FDEE6D48"/>
    <w:rsid w:val="FDEEC638"/>
    <w:rsid w:val="FDEF1037"/>
    <w:rsid w:val="FE0B38E4"/>
    <w:rsid w:val="FE7F0437"/>
    <w:rsid w:val="FEBDF026"/>
    <w:rsid w:val="FEEF2A61"/>
    <w:rsid w:val="FEFCBB99"/>
    <w:rsid w:val="FEFF1813"/>
    <w:rsid w:val="FF5F4AB5"/>
    <w:rsid w:val="FF7ABD3A"/>
    <w:rsid w:val="FF7FC7BA"/>
    <w:rsid w:val="FF86D775"/>
    <w:rsid w:val="FF9C997D"/>
    <w:rsid w:val="FF9FF219"/>
    <w:rsid w:val="FFAE45DE"/>
    <w:rsid w:val="FFBB7D42"/>
    <w:rsid w:val="FFBF3661"/>
    <w:rsid w:val="FFE767A8"/>
    <w:rsid w:val="FFEA2469"/>
    <w:rsid w:val="FFECC98B"/>
    <w:rsid w:val="FFF66A25"/>
    <w:rsid w:val="FFF78413"/>
    <w:rsid w:val="FFFB3BC8"/>
    <w:rsid w:val="FFFBC3EF"/>
    <w:rsid w:val="FFFDACC5"/>
    <w:rsid w:val="FFFF70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unhideWhenUsed/>
    <w:qFormat/>
    <w:uiPriority w:val="0"/>
    <w:pPr>
      <w:spacing w:after="120"/>
    </w:pPr>
  </w:style>
  <w:style w:type="paragraph" w:styleId="4">
    <w:name w:val="Body Text Indent"/>
    <w:basedOn w:val="1"/>
    <w:unhideWhenUsed/>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kern w:val="0"/>
      <w:sz w:val="24"/>
    </w:rPr>
  </w:style>
  <w:style w:type="paragraph" w:styleId="8">
    <w:name w:val="Title"/>
    <w:basedOn w:val="1"/>
    <w:next w:val="1"/>
    <w:qFormat/>
    <w:uiPriority w:val="10"/>
    <w:pPr>
      <w:spacing w:before="240" w:after="60"/>
      <w:jc w:val="center"/>
      <w:outlineLvl w:val="0"/>
    </w:pPr>
    <w:rPr>
      <w:rFonts w:ascii="Cambria" w:hAnsi="Cambria"/>
      <w:b/>
      <w:bCs/>
      <w:sz w:val="32"/>
      <w:szCs w:val="32"/>
    </w:rPr>
  </w:style>
  <w:style w:type="paragraph" w:styleId="9">
    <w:name w:val="Body Text First Indent 2"/>
    <w:basedOn w:val="1"/>
    <w:qFormat/>
    <w:uiPriority w:val="0"/>
    <w:pPr>
      <w:ind w:firstLine="420" w:firstLineChars="200"/>
    </w:pPr>
    <w:rPr>
      <w:szCs w:val="24"/>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Table Paragraph"/>
    <w:basedOn w:val="1"/>
    <w:qFormat/>
    <w:uiPriority w:val="1"/>
    <w:pPr>
      <w:autoSpaceDE w:val="0"/>
      <w:autoSpaceDN w:val="0"/>
      <w:jc w:val="left"/>
    </w:pPr>
    <w:rPr>
      <w:rFonts w:ascii="宋体" w:hAnsi="宋体" w:cs="宋体"/>
      <w:kern w:val="0"/>
      <w:sz w:val="22"/>
    </w:rPr>
  </w:style>
  <w:style w:type="character" w:customStyle="1" w:styleId="14">
    <w:name w:val="line"/>
    <w:basedOn w:val="12"/>
    <w:qFormat/>
    <w:uiPriority w:val="0"/>
  </w:style>
  <w:style w:type="paragraph" w:customStyle="1" w:styleId="15">
    <w:name w:val=" Char"/>
    <w:basedOn w:val="1"/>
    <w:semiHidden/>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2021-12-06T08:30:00Z</dcterms:created>
  <dc:creator>游恬</dc:creator>
  <cp:lastModifiedBy>娟</cp:lastModifiedBy>
  <cp:lastPrinted>2021-12-24T23:17:00Z</cp:lastPrinted>
  <dcterms:modified xsi:type="dcterms:W3CDTF">2021-12-30T09:09:09Z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