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bCs/>
        </w:rPr>
      </w:pPr>
      <w:r>
        <w:rPr>
          <w:rFonts w:eastAsia="黑体"/>
          <w:bCs/>
        </w:rPr>
        <w:t>附件</w:t>
      </w:r>
    </w:p>
    <w:p>
      <w:pPr>
        <w:spacing w:line="600" w:lineRule="exact"/>
        <w:rPr>
          <w:rFonts w:eastAsia="黑体"/>
          <w:bCs/>
        </w:rPr>
      </w:pPr>
    </w:p>
    <w:p>
      <w:pPr>
        <w:spacing w:line="600" w:lineRule="exact"/>
        <w:jc w:val="center"/>
        <w:textAlignment w:val="top"/>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rPr>
        <w:t>3年福建省成人高等学校考试招生规定</w:t>
      </w:r>
    </w:p>
    <w:p>
      <w:pPr>
        <w:spacing w:line="600" w:lineRule="exact"/>
        <w:ind w:firstLine="632" w:firstLineChars="200"/>
        <w:rPr>
          <w:rStyle w:val="13"/>
          <w:rFonts w:ascii="仿宋_GB2312" w:hAnsi="仿宋_GB2312" w:eastAsia="仿宋_GB2312" w:cs="仿宋_GB2312"/>
          <w:b w:val="0"/>
          <w:bCs/>
        </w:rPr>
      </w:pP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根据教育部办公厅《关于做好</w:t>
      </w:r>
      <w:r>
        <w:rPr>
          <w:rStyle w:val="13"/>
          <w:rFonts w:ascii="仿宋_GB2312" w:hAnsi="仿宋_GB2312" w:eastAsia="仿宋_GB2312" w:cs="仿宋_GB2312"/>
          <w:b w:val="0"/>
          <w:bCs/>
        </w:rPr>
        <w:t>202</w:t>
      </w:r>
      <w:r>
        <w:rPr>
          <w:rStyle w:val="13"/>
          <w:rFonts w:hint="eastAsia" w:ascii="仿宋_GB2312" w:hAnsi="仿宋_GB2312" w:eastAsia="仿宋_GB2312" w:cs="仿宋_GB2312"/>
          <w:b w:val="0"/>
          <w:bCs/>
        </w:rPr>
        <w:t>3年全国成人高校招生工作的通知》（教学厅〔</w:t>
      </w:r>
      <w:r>
        <w:rPr>
          <w:rStyle w:val="13"/>
          <w:rFonts w:ascii="仿宋_GB2312" w:hAnsi="仿宋_GB2312" w:eastAsia="仿宋_GB2312" w:cs="仿宋_GB2312"/>
          <w:b w:val="0"/>
          <w:bCs/>
        </w:rPr>
        <w:t>202</w:t>
      </w:r>
      <w:r>
        <w:rPr>
          <w:rStyle w:val="13"/>
          <w:rFonts w:hint="eastAsia" w:ascii="仿宋_GB2312" w:hAnsi="仿宋_GB2312" w:eastAsia="仿宋_GB2312" w:cs="仿宋_GB2312"/>
          <w:b w:val="0"/>
          <w:bCs/>
        </w:rPr>
        <w:t>3〕7号），结合我省实际情况，特制定本规定。</w:t>
      </w:r>
    </w:p>
    <w:p>
      <w:pPr>
        <w:spacing w:line="600" w:lineRule="exact"/>
        <w:ind w:firstLine="632" w:firstLineChars="200"/>
        <w:rPr>
          <w:rStyle w:val="13"/>
          <w:rFonts w:ascii="黑体" w:hAnsi="黑体" w:eastAsia="黑体" w:cs="黑体"/>
          <w:b w:val="0"/>
          <w:bCs/>
        </w:rPr>
      </w:pPr>
      <w:r>
        <w:rPr>
          <w:rStyle w:val="13"/>
          <w:rFonts w:hint="eastAsia" w:ascii="黑体" w:hAnsi="黑体" w:eastAsia="黑体" w:cs="黑体"/>
          <w:b w:val="0"/>
          <w:bCs/>
        </w:rPr>
        <w:t>一、招生学校</w:t>
      </w:r>
    </w:p>
    <w:p>
      <w:pPr>
        <w:spacing w:line="600" w:lineRule="exact"/>
        <w:ind w:firstLine="632" w:firstLineChars="200"/>
        <w:rPr>
          <w:rFonts w:eastAsia="仿宋_GB2312"/>
        </w:rPr>
      </w:pPr>
      <w:r>
        <w:rPr>
          <w:rFonts w:eastAsia="仿宋_GB2312"/>
        </w:rPr>
        <w:t>经教育部审定核准举办成人高等学历教育的开放大学、职工高等学校、职业技术学院、职业技术大学、管理干部学院、教育学院和普通高校成（继）教院等（以下统称成人高校）实行全国统一考试招生。</w:t>
      </w:r>
    </w:p>
    <w:p>
      <w:pPr>
        <w:spacing w:line="600" w:lineRule="exact"/>
        <w:ind w:firstLine="632" w:firstLineChars="200"/>
        <w:rPr>
          <w:rFonts w:eastAsia="仿宋_GB2312"/>
        </w:rPr>
      </w:pPr>
      <w:r>
        <w:rPr>
          <w:rFonts w:eastAsia="仿宋_GB2312"/>
        </w:rPr>
        <w:t>招生类型分高中起点升专科（以下简称高起专）和专科起点升本科（以下简称专升本）</w:t>
      </w:r>
      <w:r>
        <w:rPr>
          <w:rFonts w:eastAsia="仿宋_GB2312"/>
          <w:color w:val="auto"/>
        </w:rPr>
        <w:t>两种</w:t>
      </w:r>
      <w:r>
        <w:rPr>
          <w:rFonts w:eastAsia="仿宋_GB2312"/>
        </w:rPr>
        <w:t>。</w:t>
      </w:r>
    </w:p>
    <w:p>
      <w:pPr>
        <w:spacing w:line="600" w:lineRule="exact"/>
        <w:ind w:firstLine="632" w:firstLineChars="200"/>
        <w:rPr>
          <w:rFonts w:eastAsia="仿宋_GB2312"/>
        </w:rPr>
      </w:pPr>
      <w:r>
        <w:rPr>
          <w:rFonts w:eastAsia="仿宋_GB2312"/>
        </w:rPr>
        <w:t>在校学习形式分业余和函授</w:t>
      </w:r>
      <w:r>
        <w:rPr>
          <w:rFonts w:hint="eastAsia" w:eastAsia="仿宋_GB2312"/>
        </w:rPr>
        <w:t>，</w:t>
      </w:r>
      <w:r>
        <w:rPr>
          <w:rFonts w:eastAsia="仿宋_GB2312"/>
        </w:rPr>
        <w:t>最短学习时间为</w:t>
      </w:r>
      <w:r>
        <w:rPr>
          <w:rFonts w:hint="eastAsia" w:eastAsia="仿宋_GB2312"/>
        </w:rPr>
        <w:t>三年</w:t>
      </w:r>
      <w:r>
        <w:rPr>
          <w:rFonts w:eastAsia="仿宋_GB2312"/>
        </w:rPr>
        <w:t>。</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color w:val="auto"/>
        </w:rPr>
        <w:t>经教育部和福建省教育厅批准下达成人高等学历教育招生计划的院校,并由福建省教育考试院统一向社会公布招生专业后，方可在我省招生。</w:t>
      </w:r>
    </w:p>
    <w:p>
      <w:pPr>
        <w:spacing w:line="600" w:lineRule="exact"/>
        <w:ind w:firstLine="632" w:firstLineChars="200"/>
        <w:rPr>
          <w:rStyle w:val="13"/>
          <w:rFonts w:ascii="仿宋_GB2312" w:hAnsi="仿宋_GB2312" w:eastAsia="仿宋_GB2312" w:cs="仿宋_GB2312"/>
          <w:b w:val="0"/>
          <w:bCs/>
        </w:rPr>
      </w:pPr>
      <w:r>
        <w:rPr>
          <w:rFonts w:eastAsia="仿宋_GB2312"/>
        </w:rPr>
        <w:t>各成人高校应依照《中华人民共和国教育法》《中华人民共和国高等教育法》和教育部有关招生规定制订本学校招生章程，并在报名开始前以适当方式向社会公布。招生章程必须如实反映本校的实际情况，内容包括招生</w:t>
      </w:r>
      <w:r>
        <w:rPr>
          <w:rFonts w:hint="eastAsia" w:eastAsia="仿宋_GB2312"/>
        </w:rPr>
        <w:t>专业</w:t>
      </w:r>
      <w:r>
        <w:rPr>
          <w:rFonts w:eastAsia="仿宋_GB2312"/>
        </w:rPr>
        <w:t>、学习形式、学制和年限、办学地点、录取原则、收费标准以及专业加试科目的时间、地点等。各成人高校应对招生章程的内容承担责任并负责处理遗留问题。</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二、招生计划</w:t>
      </w:r>
    </w:p>
    <w:p>
      <w:pPr>
        <w:spacing w:line="600" w:lineRule="exact"/>
        <w:ind w:firstLine="632" w:firstLineChars="200"/>
        <w:rPr>
          <w:rFonts w:eastAsia="仿宋_GB2312"/>
          <w:color w:val="auto"/>
        </w:rPr>
      </w:pPr>
      <w:r>
        <w:rPr>
          <w:rFonts w:eastAsia="仿宋_GB2312"/>
        </w:rPr>
        <w:t>（一）成人高校招生来源计划编制工作分为两个阶段，第一阶段</w:t>
      </w:r>
      <w:r>
        <w:rPr>
          <w:rFonts w:hint="eastAsia" w:eastAsia="仿宋_GB2312"/>
        </w:rPr>
        <w:t>，</w:t>
      </w:r>
      <w:r>
        <w:rPr>
          <w:rFonts w:eastAsia="仿宋_GB2312"/>
        </w:rPr>
        <w:t>各成人高校编制在各地招生专业目录</w:t>
      </w:r>
      <w:r>
        <w:rPr>
          <w:rFonts w:hint="eastAsia" w:eastAsia="仿宋_GB2312"/>
        </w:rPr>
        <w:t>，目录内容应</w:t>
      </w:r>
      <w:r>
        <w:rPr>
          <w:rFonts w:eastAsia="仿宋_GB2312"/>
        </w:rPr>
        <w:t>包括</w:t>
      </w:r>
      <w:r>
        <w:rPr>
          <w:rFonts w:hint="eastAsia" w:eastAsia="仿宋_GB2312"/>
        </w:rPr>
        <w:t>招生</w:t>
      </w:r>
      <w:r>
        <w:rPr>
          <w:rFonts w:eastAsia="仿宋_GB2312"/>
        </w:rPr>
        <w:t>专业、层次、学习形式、学制、外语语种、</w:t>
      </w:r>
      <w:r>
        <w:rPr>
          <w:rFonts w:hint="eastAsia" w:eastAsia="仿宋_GB2312"/>
        </w:rPr>
        <w:t>校外教学点（</w:t>
      </w:r>
      <w:r>
        <w:rPr>
          <w:rFonts w:eastAsia="仿宋_GB2312"/>
        </w:rPr>
        <w:t>函授站</w:t>
      </w:r>
      <w:r>
        <w:rPr>
          <w:rFonts w:hint="eastAsia" w:eastAsia="仿宋_GB2312"/>
        </w:rPr>
        <w:t>）</w:t>
      </w:r>
      <w:r>
        <w:rPr>
          <w:rFonts w:eastAsia="仿宋_GB2312"/>
        </w:rPr>
        <w:t>、授课地点、收费标准等内容；第二阶段</w:t>
      </w:r>
      <w:r>
        <w:rPr>
          <w:rFonts w:hint="eastAsia" w:eastAsia="仿宋_GB2312"/>
        </w:rPr>
        <w:t>，</w:t>
      </w:r>
      <w:r>
        <w:rPr>
          <w:rFonts w:eastAsia="仿宋_GB2312"/>
        </w:rPr>
        <w:t>省教育厅</w:t>
      </w:r>
      <w:r>
        <w:rPr>
          <w:rFonts w:hint="eastAsia" w:eastAsia="仿宋_GB2312"/>
        </w:rPr>
        <w:t>认真落实教育部《普通高等学校学历继续教育办学基本要求 （试行）》，</w:t>
      </w:r>
      <w:r>
        <w:rPr>
          <w:rFonts w:eastAsia="仿宋_GB2312"/>
        </w:rPr>
        <w:t>综合考虑成人高校办学条件和能力、生源情况等，</w:t>
      </w:r>
      <w:r>
        <w:rPr>
          <w:rFonts w:eastAsia="仿宋_GB2312" w:cs="新宋体-18030"/>
          <w:color w:val="auto"/>
        </w:rPr>
        <w:t>从严</w:t>
      </w:r>
      <w:r>
        <w:rPr>
          <w:rFonts w:eastAsia="仿宋_GB2312"/>
          <w:color w:val="auto"/>
        </w:rPr>
        <w:t>确定所属成人高校招生规模</w:t>
      </w:r>
      <w:r>
        <w:rPr>
          <w:rFonts w:eastAsia="仿宋_GB2312" w:cs="新宋体-18030"/>
          <w:color w:val="auto"/>
        </w:rPr>
        <w:t>，</w:t>
      </w:r>
      <w:r>
        <w:rPr>
          <w:rFonts w:eastAsia="仿宋_GB2312"/>
          <w:color w:val="auto"/>
        </w:rPr>
        <w:t>组织所属成人高校编制各专业在各地招生计划数，</w:t>
      </w:r>
      <w:r>
        <w:rPr>
          <w:rFonts w:eastAsia="仿宋_GB2312" w:cs="新宋体-18030"/>
          <w:color w:val="auto"/>
        </w:rPr>
        <w:t>招生计划数不得超过教育主管部门核定的招生计划上限</w:t>
      </w:r>
      <w:r>
        <w:rPr>
          <w:rFonts w:eastAsia="仿宋_GB2312"/>
          <w:color w:val="auto"/>
        </w:rPr>
        <w:t>。</w:t>
      </w:r>
      <w:r>
        <w:rPr>
          <w:rStyle w:val="13"/>
          <w:rFonts w:hint="eastAsia" w:ascii="仿宋_GB2312" w:hAnsi="仿宋_GB2312" w:eastAsia="仿宋_GB2312" w:cs="仿宋_GB2312"/>
          <w:b w:val="0"/>
          <w:bCs/>
          <w:color w:val="auto"/>
        </w:rPr>
        <w:t>省教育考试院负责向社会公布招生学校和招生专业。</w:t>
      </w:r>
    </w:p>
    <w:p>
      <w:pPr>
        <w:pStyle w:val="5"/>
        <w:spacing w:line="600" w:lineRule="exact"/>
        <w:ind w:firstLine="570"/>
        <w:rPr>
          <w:rFonts w:ascii="Times New Roman" w:hAnsi="Times New Roman" w:eastAsia="仿宋_GB2312"/>
          <w:szCs w:val="32"/>
        </w:rPr>
      </w:pPr>
      <w:r>
        <w:rPr>
          <w:rFonts w:ascii="Times New Roman" w:hAnsi="Times New Roman" w:eastAsia="仿宋_GB2312"/>
          <w:szCs w:val="32"/>
        </w:rPr>
        <w:t>（二）成人高校招生来源计划实行网上编制和管理，招生来源计划的编制、上报、分送、调整等工作按教育部有关要求在网上进行。所有成人高校必须在网上系统全口径编制分省计划（包括省属高校在本省的分专业计划）。</w:t>
      </w:r>
    </w:p>
    <w:p>
      <w:pPr>
        <w:pStyle w:val="5"/>
        <w:spacing w:line="600" w:lineRule="exact"/>
        <w:ind w:firstLine="632" w:firstLineChars="200"/>
        <w:rPr>
          <w:rFonts w:ascii="Times New Roman" w:hAnsi="Times New Roman" w:eastAsia="仿宋_GB2312"/>
          <w:szCs w:val="32"/>
        </w:rPr>
      </w:pPr>
      <w:r>
        <w:rPr>
          <w:rFonts w:ascii="Times New Roman" w:hAnsi="Times New Roman" w:eastAsia="仿宋_GB2312"/>
          <w:szCs w:val="32"/>
        </w:rPr>
        <w:t>（三）成人高校在分省计划编制过程中要立足各地适应经济社会发展需要，着眼优化教育结构和提高教育质量，充分体现成人高等教育为在职从业人员服务、以业余学习为主的特点。</w:t>
      </w:r>
    </w:p>
    <w:p>
      <w:pPr>
        <w:pStyle w:val="5"/>
        <w:spacing w:line="600" w:lineRule="exact"/>
        <w:ind w:firstLine="632" w:firstLineChars="200"/>
        <w:rPr>
          <w:rFonts w:ascii="Times New Roman" w:hAnsi="Times New Roman" w:eastAsia="仿宋_GB2312"/>
          <w:szCs w:val="32"/>
        </w:rPr>
      </w:pPr>
      <w:r>
        <w:rPr>
          <w:rFonts w:ascii="Times New Roman" w:hAnsi="Times New Roman" w:eastAsia="仿宋_GB2312"/>
          <w:szCs w:val="32"/>
        </w:rPr>
        <w:t>（四）成人高校举办函授教育，只能在已经按规定履行过校外教学点（函授站）登记手续，并报我省备案后方可在我省招生。各高校要认真对照《教育部办公厅关于严格规范高等学历继续教育校外教学点设置与管理工作的通知》</w:t>
      </w:r>
      <w:r>
        <w:rPr>
          <w:rStyle w:val="13"/>
          <w:rFonts w:ascii="仿宋_GB2312" w:hAnsi="仿宋_GB2312" w:eastAsia="仿宋_GB2312" w:cs="仿宋_GB2312"/>
          <w:b w:val="0"/>
          <w:bCs/>
          <w:szCs w:val="32"/>
        </w:rPr>
        <w:t>（教职成厅〔</w:t>
      </w:r>
      <w:r>
        <w:rPr>
          <w:rStyle w:val="13"/>
          <w:rFonts w:hint="default" w:ascii="仿宋_GB2312" w:hAnsi="仿宋_GB2312" w:eastAsia="仿宋_GB2312" w:cs="仿宋_GB2312"/>
          <w:b w:val="0"/>
          <w:bCs/>
          <w:szCs w:val="32"/>
        </w:rPr>
        <w:t>202</w:t>
      </w:r>
      <w:r>
        <w:rPr>
          <w:rStyle w:val="13"/>
          <w:rFonts w:ascii="仿宋_GB2312" w:hAnsi="仿宋_GB2312" w:eastAsia="仿宋_GB2312" w:cs="仿宋_GB2312"/>
          <w:b w:val="0"/>
          <w:bCs/>
          <w:szCs w:val="32"/>
        </w:rPr>
        <w:t>2〕1号）的具体要求，学校校外教学点中已经不符合设置标准的、安置新生会导致不符合设置标准的、准备撤销的，原则上不得在该教学点安置招收新生。</w:t>
      </w:r>
    </w:p>
    <w:p>
      <w:pPr>
        <w:pStyle w:val="5"/>
        <w:spacing w:line="600" w:lineRule="exact"/>
        <w:ind w:firstLine="632" w:firstLineChars="200"/>
        <w:rPr>
          <w:rFonts w:ascii="Times New Roman" w:hAnsi="Times New Roman" w:eastAsia="仿宋_GB2312"/>
          <w:szCs w:val="32"/>
        </w:rPr>
      </w:pPr>
      <w:r>
        <w:rPr>
          <w:rFonts w:ascii="Times New Roman" w:hAnsi="Times New Roman" w:eastAsia="仿宋_GB2312"/>
          <w:szCs w:val="32"/>
        </w:rPr>
        <w:t>（五）各成人高校应按教育部相关要求提前做好招生专业备案工作，并在教育部公布的拟招生专业备案范围内安排招生专业。</w:t>
      </w:r>
    </w:p>
    <w:p>
      <w:pPr>
        <w:pStyle w:val="5"/>
        <w:spacing w:line="600" w:lineRule="exact"/>
        <w:ind w:firstLine="632" w:firstLineChars="200"/>
        <w:rPr>
          <w:rFonts w:ascii="Times New Roman" w:hAnsi="Times New Roman" w:eastAsia="仿宋_GB2312"/>
          <w:szCs w:val="32"/>
        </w:rPr>
      </w:pPr>
      <w:r>
        <w:rPr>
          <w:rFonts w:ascii="Times New Roman" w:hAnsi="Times New Roman" w:eastAsia="仿宋_GB2312"/>
          <w:szCs w:val="32"/>
        </w:rPr>
        <w:t>（六）医学门类中的临床医学、口腔医学、中医学、藏医学、蒙医学、维吾尔医学、针灸推拿学、预防医学、麻醉学、医学影像学和医学检验等专业不得安排函授招生计划；艺术类、外语类专业安排函授招生计划须经教育部审核备案。</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三、报名</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（一）报名条件</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符合下列条件的中国公民可以报名：</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1.遵守中华人民共和国宪法和法律。</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2.国家承认学历的各类高、中等学校在校生以外的从业人员和社会其他人员。</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3.身体健康，生活能自理，不影响所报专业学习。</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4.报考高起专的考生</w:t>
      </w:r>
      <w:r>
        <w:rPr>
          <w:rFonts w:eastAsia="仿宋_GB2312"/>
        </w:rPr>
        <w:t>应高级中等教育学校毕业或者具有同等学力</w:t>
      </w:r>
      <w:r>
        <w:rPr>
          <w:rStyle w:val="13"/>
          <w:rFonts w:hint="eastAsia" w:ascii="仿宋_GB2312" w:hAnsi="仿宋_GB2312" w:eastAsia="仿宋_GB2312" w:cs="仿宋_GB2312"/>
          <w:b w:val="0"/>
          <w:bCs/>
        </w:rPr>
        <w:t>。报考专升本的考生必须是已取得经教育部审定核准的国民教育系列高等学校、高等教育自学考试机构颁发的专科毕业证书、本科结业证书</w:t>
      </w:r>
      <w:r>
        <w:rPr>
          <w:rStyle w:val="13"/>
          <w:rFonts w:hint="eastAsia" w:ascii="仿宋_GB2312" w:hAnsi="仿宋_GB2312" w:eastAsia="仿宋_GB2312" w:cs="仿宋_GB2312"/>
          <w:b w:val="0"/>
          <w:bCs/>
          <w:color w:val="auto"/>
        </w:rPr>
        <w:t>或以上证书</w:t>
      </w:r>
      <w:r>
        <w:rPr>
          <w:rStyle w:val="13"/>
          <w:rFonts w:hint="eastAsia" w:ascii="仿宋_GB2312" w:hAnsi="仿宋_GB2312" w:eastAsia="仿宋_GB2312" w:cs="仿宋_GB2312"/>
          <w:b w:val="0"/>
          <w:bCs/>
        </w:rPr>
        <w:t>的人员。</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5.报考成人高校医学门类专业的考生还应具备以下条件：</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（2）报考护理学专业的人员应取得省级卫生健康行政部门颁发的执业护士证书。</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（3）报考医学门类其他专业的人员应当是从事卫生、医药行业工作的在职专业技术人员。</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（4）考生报考的专业原则上应与所从事的专业对口。</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ascii="仿宋_GB2312" w:hAnsi="仿宋_GB2312" w:eastAsia="仿宋_GB2312" w:cs="仿宋_GB2312"/>
          <w:b w:val="0"/>
          <w:bCs/>
          <w:color w:val="auto"/>
        </w:rPr>
        <w:t>6.</w:t>
      </w:r>
      <w:r>
        <w:rPr>
          <w:rStyle w:val="13"/>
          <w:rFonts w:hint="eastAsia" w:ascii="仿宋_GB2312" w:hAnsi="仿宋_GB2312" w:eastAsia="仿宋_GB2312" w:cs="仿宋_GB2312"/>
          <w:b w:val="0"/>
          <w:bCs/>
          <w:color w:val="auto"/>
        </w:rPr>
        <w:t>在中国定居并符合上述报名条件的港澳居民持《港澳居民来往内地通行证》或《港澳居民居住证》、台湾居民持《台湾居民来往大陆通行证》或《台湾居民居住证》、外国侨民持《外国人永久居留身份证》。</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color w:val="auto"/>
        </w:rPr>
        <w:t>7</w:t>
      </w:r>
      <w:r>
        <w:rPr>
          <w:rStyle w:val="13"/>
          <w:rFonts w:ascii="仿宋_GB2312" w:hAnsi="仿宋_GB2312" w:eastAsia="仿宋_GB2312" w:cs="仿宋_GB2312"/>
          <w:b w:val="0"/>
          <w:bCs/>
          <w:color w:val="auto"/>
        </w:rPr>
        <w:t>.</w:t>
      </w:r>
      <w:r>
        <w:rPr>
          <w:rStyle w:val="13"/>
          <w:rFonts w:hint="eastAsia" w:ascii="仿宋_GB2312" w:hAnsi="仿宋_GB2312" w:eastAsia="仿宋_GB2312" w:cs="仿宋_GB2312"/>
          <w:b w:val="0"/>
          <w:bCs/>
          <w:color w:val="auto"/>
        </w:rPr>
        <w:t>考生一般应在户口所在地报名。</w:t>
      </w:r>
      <w:r>
        <w:rPr>
          <w:rStyle w:val="13"/>
          <w:rFonts w:hint="eastAsia" w:ascii="仿宋_GB2312" w:hAnsi="仿宋_GB2312" w:eastAsia="仿宋_GB2312" w:cs="仿宋_GB2312"/>
          <w:b w:val="0"/>
          <w:bCs/>
        </w:rPr>
        <w:t>确需在非户口所在地报考的，原则上应在工作或居住所在地报考。</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（二）报名时间</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所有参加全国统考、</w:t>
      </w:r>
      <w:r>
        <w:rPr>
          <w:rStyle w:val="13"/>
          <w:rFonts w:ascii="仿宋_GB2312" w:hAnsi="仿宋_GB2312" w:eastAsia="仿宋_GB2312" w:cs="仿宋_GB2312"/>
          <w:b w:val="0"/>
          <w:bCs/>
          <w:color w:val="auto"/>
        </w:rPr>
        <w:t>高素质农民和乡镇农技人员以及</w:t>
      </w:r>
      <w:r>
        <w:rPr>
          <w:rStyle w:val="13"/>
          <w:rFonts w:hint="eastAsia" w:ascii="仿宋_GB2312" w:hAnsi="仿宋_GB2312" w:eastAsia="仿宋_GB2312" w:cs="仿宋_GB2312"/>
          <w:b w:val="0"/>
          <w:bCs/>
          <w:color w:val="auto"/>
        </w:rPr>
        <w:t>免试入学的考生均需办理报名手续。</w:t>
      </w:r>
      <w:r>
        <w:rPr>
          <w:rStyle w:val="13"/>
          <w:rFonts w:hint="eastAsia" w:ascii="仿宋_GB2312" w:hAnsi="仿宋_GB2312" w:eastAsia="仿宋_GB2312" w:cs="仿宋_GB2312"/>
          <w:b w:val="0"/>
          <w:bCs/>
        </w:rPr>
        <w:t>我省成人高校</w:t>
      </w:r>
      <w:r>
        <w:rPr>
          <w:rStyle w:val="13"/>
          <w:rFonts w:ascii="仿宋_GB2312" w:hAnsi="仿宋_GB2312" w:eastAsia="仿宋_GB2312" w:cs="仿宋_GB2312"/>
          <w:b w:val="0"/>
          <w:bCs/>
        </w:rPr>
        <w:t>报名</w:t>
      </w:r>
      <w:r>
        <w:rPr>
          <w:rStyle w:val="13"/>
          <w:rFonts w:hint="eastAsia" w:ascii="仿宋_GB2312" w:hAnsi="仿宋_GB2312" w:eastAsia="仿宋_GB2312" w:cs="仿宋_GB2312"/>
          <w:b w:val="0"/>
          <w:bCs/>
        </w:rPr>
        <w:t>采取网上报名的方式，分为网上信息输入（含志愿填报</w:t>
      </w:r>
      <w:r>
        <w:rPr>
          <w:rStyle w:val="13"/>
          <w:rFonts w:ascii="仿宋_GB2312" w:hAnsi="仿宋_GB2312" w:eastAsia="仿宋_GB2312" w:cs="仿宋_GB2312"/>
          <w:b w:val="0"/>
          <w:bCs/>
        </w:rPr>
        <w:t>和报名</w:t>
      </w:r>
      <w:r>
        <w:rPr>
          <w:rStyle w:val="13"/>
          <w:rFonts w:hint="eastAsia" w:ascii="仿宋_GB2312" w:hAnsi="仿宋_GB2312" w:eastAsia="仿宋_GB2312" w:cs="仿宋_GB2312"/>
          <w:b w:val="0"/>
          <w:bCs/>
        </w:rPr>
        <w:t>材料上传）和信息确认（网上或现场）两个阶段。</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网上信息输入（含志愿填报和材料上传）时间：9月</w:t>
      </w:r>
      <w:r>
        <w:rPr>
          <w:rStyle w:val="13"/>
          <w:rFonts w:ascii="仿宋_GB2312" w:hAnsi="仿宋_GB2312" w:eastAsia="仿宋_GB2312" w:cs="仿宋_GB2312"/>
          <w:b w:val="0"/>
          <w:bCs/>
          <w:color w:val="auto"/>
        </w:rPr>
        <w:t>8</w:t>
      </w:r>
      <w:r>
        <w:rPr>
          <w:rStyle w:val="13"/>
          <w:rFonts w:hint="eastAsia" w:ascii="仿宋_GB2312" w:hAnsi="仿宋_GB2312" w:eastAsia="仿宋_GB2312" w:cs="仿宋_GB2312"/>
          <w:b w:val="0"/>
          <w:bCs/>
          <w:color w:val="auto"/>
        </w:rPr>
        <w:t>日9:00--9月</w:t>
      </w:r>
      <w:r>
        <w:rPr>
          <w:rStyle w:val="13"/>
          <w:rFonts w:ascii="仿宋_GB2312" w:hAnsi="仿宋_GB2312" w:eastAsia="仿宋_GB2312" w:cs="仿宋_GB2312"/>
          <w:b w:val="0"/>
          <w:bCs/>
          <w:color w:val="auto"/>
        </w:rPr>
        <w:t>12</w:t>
      </w:r>
      <w:r>
        <w:rPr>
          <w:rStyle w:val="13"/>
          <w:rFonts w:hint="eastAsia" w:ascii="仿宋_GB2312" w:hAnsi="仿宋_GB2312" w:eastAsia="仿宋_GB2312" w:cs="仿宋_GB2312"/>
          <w:b w:val="0"/>
          <w:bCs/>
          <w:color w:val="auto"/>
        </w:rPr>
        <w:t>日18:00；</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网上缴费截止时间：9月</w:t>
      </w:r>
      <w:r>
        <w:rPr>
          <w:rStyle w:val="13"/>
          <w:rFonts w:ascii="仿宋_GB2312" w:hAnsi="仿宋_GB2312" w:eastAsia="仿宋_GB2312" w:cs="仿宋_GB2312"/>
          <w:b w:val="0"/>
          <w:bCs/>
          <w:color w:val="auto"/>
        </w:rPr>
        <w:t>12</w:t>
      </w:r>
      <w:r>
        <w:rPr>
          <w:rStyle w:val="13"/>
          <w:rFonts w:hint="eastAsia" w:ascii="仿宋_GB2312" w:hAnsi="仿宋_GB2312" w:eastAsia="仿宋_GB2312" w:cs="仿宋_GB2312"/>
          <w:b w:val="0"/>
          <w:bCs/>
          <w:color w:val="auto"/>
        </w:rPr>
        <w:t>日18:30；</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网上信息确认时间：9月</w:t>
      </w:r>
      <w:r>
        <w:rPr>
          <w:rStyle w:val="13"/>
          <w:rFonts w:ascii="仿宋_GB2312" w:hAnsi="仿宋_GB2312" w:eastAsia="仿宋_GB2312" w:cs="仿宋_GB2312"/>
          <w:b w:val="0"/>
          <w:bCs/>
          <w:color w:val="auto"/>
        </w:rPr>
        <w:t>8</w:t>
      </w:r>
      <w:r>
        <w:rPr>
          <w:rStyle w:val="13"/>
          <w:rFonts w:hint="eastAsia" w:ascii="仿宋_GB2312" w:hAnsi="仿宋_GB2312" w:eastAsia="仿宋_GB2312" w:cs="仿宋_GB2312"/>
          <w:b w:val="0"/>
          <w:bCs/>
          <w:color w:val="auto"/>
        </w:rPr>
        <w:t>日--9月1</w:t>
      </w:r>
      <w:r>
        <w:rPr>
          <w:rStyle w:val="13"/>
          <w:rFonts w:ascii="仿宋_GB2312" w:hAnsi="仿宋_GB2312" w:eastAsia="仿宋_GB2312" w:cs="仿宋_GB2312"/>
          <w:b w:val="0"/>
          <w:bCs/>
          <w:color w:val="auto"/>
        </w:rPr>
        <w:t>4</w:t>
      </w:r>
      <w:r>
        <w:rPr>
          <w:rStyle w:val="13"/>
          <w:rFonts w:hint="eastAsia" w:ascii="仿宋_GB2312" w:hAnsi="仿宋_GB2312" w:eastAsia="仿宋_GB2312" w:cs="仿宋_GB2312"/>
          <w:b w:val="0"/>
          <w:bCs/>
          <w:color w:val="auto"/>
        </w:rPr>
        <w:t>日；</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现场信息确认时间：9月</w:t>
      </w:r>
      <w:r>
        <w:rPr>
          <w:rStyle w:val="13"/>
          <w:rFonts w:ascii="仿宋_GB2312" w:hAnsi="仿宋_GB2312" w:eastAsia="仿宋_GB2312" w:cs="仿宋_GB2312"/>
          <w:b w:val="0"/>
          <w:bCs/>
          <w:color w:val="auto"/>
        </w:rPr>
        <w:t>12</w:t>
      </w:r>
      <w:r>
        <w:rPr>
          <w:rStyle w:val="13"/>
          <w:rFonts w:hint="eastAsia" w:ascii="仿宋_GB2312" w:hAnsi="仿宋_GB2312" w:eastAsia="仿宋_GB2312" w:cs="仿宋_GB2312"/>
          <w:b w:val="0"/>
          <w:bCs/>
          <w:color w:val="auto"/>
        </w:rPr>
        <w:t>日--9月</w:t>
      </w:r>
      <w:r>
        <w:rPr>
          <w:rStyle w:val="13"/>
          <w:rFonts w:ascii="仿宋_GB2312" w:hAnsi="仿宋_GB2312" w:eastAsia="仿宋_GB2312" w:cs="仿宋_GB2312"/>
          <w:b w:val="0"/>
          <w:bCs/>
          <w:color w:val="auto"/>
        </w:rPr>
        <w:t>16</w:t>
      </w:r>
      <w:r>
        <w:rPr>
          <w:rStyle w:val="13"/>
          <w:rFonts w:hint="eastAsia" w:ascii="仿宋_GB2312" w:hAnsi="仿宋_GB2312" w:eastAsia="仿宋_GB2312" w:cs="仿宋_GB2312"/>
          <w:b w:val="0"/>
          <w:bCs/>
          <w:color w:val="auto"/>
        </w:rPr>
        <w:t>日。</w:t>
      </w:r>
    </w:p>
    <w:p>
      <w:pPr>
        <w:spacing w:line="600" w:lineRule="exact"/>
        <w:ind w:firstLine="632" w:firstLineChars="200"/>
        <w:rPr>
          <w:rStyle w:val="13"/>
          <w:rFonts w:ascii="楷体_GB2312" w:hAnsi="楷体_GB2312" w:eastAsia="楷体_GB2312" w:cs="楷体_GB2312"/>
          <w:color w:val="auto"/>
        </w:rPr>
      </w:pPr>
      <w:r>
        <w:rPr>
          <w:rStyle w:val="13"/>
          <w:rFonts w:hint="eastAsia" w:ascii="楷体_GB2312" w:hAnsi="楷体_GB2312" w:eastAsia="楷体_GB2312" w:cs="楷体_GB2312"/>
          <w:color w:val="auto"/>
        </w:rPr>
        <w:t>(三)报名</w:t>
      </w:r>
      <w:r>
        <w:rPr>
          <w:rStyle w:val="13"/>
          <w:rFonts w:ascii="楷体_GB2312" w:hAnsi="楷体_GB2312" w:eastAsia="楷体_GB2312" w:cs="楷体_GB2312"/>
          <w:color w:val="auto"/>
        </w:rPr>
        <w:t>办法</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考生登陆福建省教育考试院网站（https://www.eeafj.cn）</w:t>
      </w:r>
    </w:p>
    <w:p>
      <w:pPr>
        <w:spacing w:line="600" w:lineRule="exact"/>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-“数字服务大厅”-“成考成招”-“网上报名系统”，认真阅读《2023年福建省成人高等学校考试招生规定》、院校招生专业目录和有关说明。</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考生必须完成网上信息输入、材料上传、网上缴费、提交审核、信息确认（网上或现场）、查询审核结果（网上信息确认的）、打印网上确认单（网上信息确认的），即为报名成功。报名信息采集工作按照教育部有关规定和《各类成人高等学校招生工作管理信息标准》执行。</w:t>
      </w:r>
    </w:p>
    <w:p>
      <w:pPr>
        <w:spacing w:line="600" w:lineRule="exact"/>
        <w:ind w:firstLine="631"/>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以下几种情况的考生，需要到现场进行确认：</w:t>
      </w:r>
    </w:p>
    <w:p>
      <w:pPr>
        <w:spacing w:line="600" w:lineRule="exact"/>
        <w:ind w:firstLine="631"/>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（1）非大陆居民身份证报考的考生；</w:t>
      </w:r>
    </w:p>
    <w:p>
      <w:pPr>
        <w:spacing w:line="600" w:lineRule="exact"/>
        <w:ind w:firstLine="631"/>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color w:val="auto"/>
        </w:rPr>
        <w:t>（2）免试生及符合成人高考加分条件（除25周岁以上考生）</w:t>
      </w:r>
      <w:r>
        <w:rPr>
          <w:rStyle w:val="13"/>
          <w:rFonts w:hint="eastAsia" w:ascii="仿宋_GB2312" w:hAnsi="仿宋_GB2312" w:eastAsia="仿宋_GB2312" w:cs="仿宋_GB2312"/>
          <w:b w:val="0"/>
          <w:bCs/>
        </w:rPr>
        <w:t>的考生；</w:t>
      </w:r>
    </w:p>
    <w:p>
      <w:pPr>
        <w:spacing w:line="600" w:lineRule="exact"/>
        <w:ind w:firstLine="631"/>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（3）学信网学历认证未通过，无大专学历信息的专升本考生；</w:t>
      </w:r>
    </w:p>
    <w:p>
      <w:pPr>
        <w:spacing w:line="600" w:lineRule="exact"/>
        <w:ind w:firstLine="631"/>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（4）报考高起专的未满18周岁的考生；</w:t>
      </w:r>
    </w:p>
    <w:p>
      <w:pPr>
        <w:spacing w:line="600" w:lineRule="exact"/>
        <w:ind w:firstLine="631"/>
        <w:rPr>
          <w:rStyle w:val="13"/>
          <w:rFonts w:ascii="仿宋_GB2312" w:hAnsi="仿宋_GB2312" w:eastAsia="仿宋_GB2312" w:cs="仿宋_GB2312"/>
          <w:b w:val="0"/>
          <w:bCs/>
        </w:rPr>
      </w:pPr>
      <w:r>
        <w:rPr>
          <w:rStyle w:val="13"/>
          <w:rFonts w:hint="eastAsia" w:ascii="仿宋_GB2312" w:hAnsi="仿宋_GB2312" w:eastAsia="仿宋_GB2312" w:cs="仿宋_GB2312"/>
          <w:b w:val="0"/>
          <w:bCs/>
        </w:rPr>
        <w:t>（5）网上确认未通过的，需转现场确认的考生</w:t>
      </w:r>
      <w:r>
        <w:rPr>
          <w:rStyle w:val="13"/>
          <w:rFonts w:ascii="仿宋_GB2312" w:hAnsi="仿宋_GB2312" w:eastAsia="仿宋_GB2312" w:cs="仿宋_GB2312"/>
          <w:b w:val="0"/>
          <w:bCs/>
        </w:rPr>
        <w:t>。</w:t>
      </w:r>
    </w:p>
    <w:p>
      <w:pPr>
        <w:spacing w:line="600" w:lineRule="exact"/>
        <w:ind w:firstLine="632" w:firstLineChars="200"/>
        <w:rPr>
          <w:rStyle w:val="13"/>
          <w:rFonts w:ascii="仿宋_GB2312" w:hAnsi="仿宋_GB2312" w:eastAsia="仿宋_GB2312" w:cs="仿宋_GB2312"/>
        </w:rPr>
      </w:pPr>
      <w:r>
        <w:rPr>
          <w:rStyle w:val="13"/>
          <w:rFonts w:hint="eastAsia" w:ascii="仿宋_GB2312" w:hAnsi="仿宋_GB2312" w:eastAsia="仿宋_GB2312" w:cs="仿宋_GB2312"/>
        </w:rPr>
        <w:t>1.网上信息输入</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b w:val="0"/>
          <w:bCs/>
        </w:rPr>
        <w:t>（1）按照网页的提示和要求，考生签订网上报名协议，准确输入个人基本信息（姓名、二代身份证号码、手机</w:t>
      </w:r>
      <w:r>
        <w:rPr>
          <w:rStyle w:val="13"/>
          <w:rFonts w:ascii="仿宋_GB2312" w:hAnsi="仿宋_GB2312" w:eastAsia="仿宋_GB2312" w:cs="仿宋_GB2312"/>
          <w:b w:val="0"/>
          <w:bCs/>
        </w:rPr>
        <w:t>号码</w:t>
      </w:r>
      <w:r>
        <w:rPr>
          <w:rStyle w:val="13"/>
          <w:rFonts w:hint="eastAsia" w:ascii="仿宋_GB2312" w:hAnsi="仿宋_GB2312" w:eastAsia="仿宋_GB2312" w:cs="仿宋_GB2312"/>
          <w:b w:val="0"/>
          <w:bCs/>
        </w:rPr>
        <w:t>、通讯地址等）和报考院校及专业志愿信息。每位考生只能报名1次。</w:t>
      </w:r>
      <w:r>
        <w:rPr>
          <w:rFonts w:eastAsia="仿宋_GB2312" w:cs="新宋体-18030"/>
          <w:color w:val="auto"/>
        </w:rPr>
        <w:t>考生应自主诚信报考，报名时所填写内容、提供的相关材料应客观、真实、准确</w:t>
      </w:r>
      <w:r>
        <w:rPr>
          <w:rFonts w:hint="eastAsia" w:eastAsia="仿宋_GB2312" w:cs="新宋体-18030"/>
          <w:color w:val="auto"/>
        </w:rPr>
        <w:t>。</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（2）志愿填报注意事项。</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①考生</w:t>
      </w:r>
      <w:r>
        <w:rPr>
          <w:rStyle w:val="13"/>
          <w:rFonts w:ascii="仿宋_GB2312" w:hAnsi="仿宋_GB2312" w:eastAsia="仿宋_GB2312" w:cs="仿宋_GB2312"/>
          <w:b w:val="0"/>
          <w:bCs/>
        </w:rPr>
        <w:t>最多</w:t>
      </w:r>
      <w:r>
        <w:rPr>
          <w:rStyle w:val="13"/>
          <w:rFonts w:hint="eastAsia" w:ascii="仿宋_GB2312" w:hAnsi="仿宋_GB2312" w:eastAsia="仿宋_GB2312" w:cs="仿宋_GB2312"/>
          <w:b w:val="0"/>
          <w:bCs/>
        </w:rPr>
        <w:t>可填报2</w:t>
      </w:r>
      <w:r>
        <w:rPr>
          <w:rStyle w:val="13"/>
          <w:rFonts w:ascii="仿宋_GB2312" w:hAnsi="仿宋_GB2312" w:eastAsia="仿宋_GB2312" w:cs="仿宋_GB2312"/>
          <w:b w:val="0"/>
          <w:bCs/>
        </w:rPr>
        <w:t>所</w:t>
      </w:r>
      <w:r>
        <w:rPr>
          <w:rStyle w:val="13"/>
          <w:rFonts w:hint="eastAsia" w:ascii="仿宋_GB2312" w:hAnsi="仿宋_GB2312" w:eastAsia="仿宋_GB2312" w:cs="仿宋_GB2312"/>
          <w:b w:val="0"/>
          <w:bCs/>
        </w:rPr>
        <w:t>院校，每个院校填报1个专业志愿。</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②招生计划备注栏内的招生范围注明限招“系统职工”、“委培单位人员”的属限招条件；“面向××地区招生”是指面向在该地区生活和工作的人员，户口不限制；没有注明的即面向全省招生。院校学习形式为业余的主要是面向本地区招生。</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③在</w:t>
      </w:r>
      <w:r>
        <w:rPr>
          <w:rStyle w:val="13"/>
          <w:rFonts w:ascii="仿宋_GB2312" w:hAnsi="仿宋_GB2312" w:eastAsia="仿宋_GB2312" w:cs="仿宋_GB2312"/>
          <w:b w:val="0"/>
          <w:bCs/>
        </w:rPr>
        <w:t>提交审核</w:t>
      </w:r>
      <w:r>
        <w:rPr>
          <w:rStyle w:val="13"/>
          <w:rFonts w:hint="eastAsia" w:ascii="仿宋_GB2312" w:hAnsi="仿宋_GB2312" w:eastAsia="仿宋_GB2312" w:cs="仿宋_GB2312"/>
          <w:b w:val="0"/>
          <w:bCs/>
        </w:rPr>
        <w:t>前，考生如需修改志愿信息，可凭自己的账号及密码上网修改。但网上</w:t>
      </w:r>
      <w:r>
        <w:rPr>
          <w:rStyle w:val="13"/>
          <w:rFonts w:ascii="仿宋_GB2312" w:hAnsi="仿宋_GB2312" w:eastAsia="仿宋_GB2312" w:cs="仿宋_GB2312"/>
          <w:b w:val="0"/>
          <w:bCs/>
        </w:rPr>
        <w:t>志愿</w:t>
      </w:r>
      <w:r>
        <w:rPr>
          <w:rStyle w:val="13"/>
          <w:rFonts w:hint="eastAsia" w:ascii="仿宋_GB2312" w:hAnsi="仿宋_GB2312" w:eastAsia="仿宋_GB2312" w:cs="仿宋_GB2312"/>
          <w:b w:val="0"/>
          <w:bCs/>
        </w:rPr>
        <w:t>信息经考生本人提交</w:t>
      </w:r>
      <w:r>
        <w:rPr>
          <w:rStyle w:val="13"/>
          <w:rFonts w:ascii="仿宋_GB2312" w:hAnsi="仿宋_GB2312" w:eastAsia="仿宋_GB2312" w:cs="仿宋_GB2312"/>
          <w:b w:val="0"/>
          <w:bCs/>
        </w:rPr>
        <w:t>审核或</w:t>
      </w:r>
      <w:r>
        <w:rPr>
          <w:rStyle w:val="13"/>
          <w:rFonts w:hint="eastAsia" w:ascii="仿宋_GB2312" w:hAnsi="仿宋_GB2312" w:eastAsia="仿宋_GB2312" w:cs="仿宋_GB2312"/>
          <w:b w:val="0"/>
          <w:bCs/>
        </w:rPr>
        <w:t>经确认点</w:t>
      </w:r>
      <w:r>
        <w:rPr>
          <w:rStyle w:val="13"/>
          <w:rFonts w:ascii="仿宋_GB2312" w:hAnsi="仿宋_GB2312" w:eastAsia="仿宋_GB2312" w:cs="仿宋_GB2312"/>
          <w:b w:val="0"/>
          <w:bCs/>
        </w:rPr>
        <w:t>确认通过后</w:t>
      </w:r>
      <w:r>
        <w:rPr>
          <w:rStyle w:val="13"/>
          <w:rFonts w:hint="eastAsia" w:ascii="仿宋_GB2312" w:hAnsi="仿宋_GB2312" w:eastAsia="仿宋_GB2312" w:cs="仿宋_GB2312"/>
          <w:b w:val="0"/>
          <w:bCs/>
        </w:rPr>
        <w:t>，不得更改。</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（3）考生一般应选择户口（或工作单位或居住）所在地作为报名信息确认点。考生在进行网上报名时需上传户籍证明、居住证、工作证明（含有效社保缴交证明）中的一种，以此证明是否在相应的归属地报名。</w:t>
      </w:r>
    </w:p>
    <w:p>
      <w:pPr>
        <w:spacing w:line="600" w:lineRule="exact"/>
        <w:ind w:firstLine="632" w:firstLineChars="200"/>
        <w:rPr>
          <w:rStyle w:val="13"/>
          <w:rFonts w:ascii="仿宋_GB2312" w:hAnsi="仿宋_GB2312" w:eastAsia="仿宋_GB2312" w:cs="仿宋_GB2312"/>
        </w:rPr>
      </w:pPr>
      <w:r>
        <w:rPr>
          <w:rStyle w:val="13"/>
          <w:rFonts w:hint="eastAsia" w:ascii="仿宋_GB2312" w:hAnsi="仿宋_GB2312" w:eastAsia="仿宋_GB2312" w:cs="仿宋_GB2312"/>
        </w:rPr>
        <w:t>2.材料上传</w:t>
      </w:r>
    </w:p>
    <w:p>
      <w:pPr>
        <w:pStyle w:val="9"/>
        <w:shd w:val="clear" w:color="auto" w:fill="FFFFFF"/>
        <w:spacing w:beforeAutospacing="0" w:afterAutospacing="0" w:line="600" w:lineRule="exact"/>
        <w:ind w:firstLine="645"/>
        <w:jc w:val="both"/>
        <w:rPr>
          <w:rFonts w:hint="eastAsia" w:ascii="仿宋_GB2312" w:hAnsi="仿宋_GB2312" w:eastAsia="仿宋_GB2312" w:cs="仿宋_GB2312"/>
          <w:color w:val="auto"/>
          <w:sz w:val="32"/>
        </w:rPr>
      </w:pPr>
      <w:r>
        <w:rPr>
          <w:rFonts w:hint="eastAsia" w:ascii="仿宋_GB2312" w:hAnsi="仿宋_GB2312" w:eastAsia="仿宋_GB2312" w:cs="仿宋_GB2312"/>
          <w:sz w:val="32"/>
        </w:rPr>
        <w:t>所有考生报名须将本人居民身份证电子照片（人像面）、近期免冠证件照片，户籍证明（</w:t>
      </w:r>
      <w:r>
        <w:rPr>
          <w:rFonts w:ascii="仿宋_GB2312" w:hAnsi="仿宋_GB2312" w:eastAsia="仿宋_GB2312" w:cs="仿宋_GB2312"/>
          <w:sz w:val="32"/>
        </w:rPr>
        <w:t>居民</w:t>
      </w:r>
      <w:r>
        <w:rPr>
          <w:rFonts w:hint="eastAsia" w:ascii="仿宋_GB2312" w:hAnsi="仿宋_GB2312" w:eastAsia="仿宋_GB2312" w:cs="仿宋_GB2312"/>
          <w:sz w:val="32"/>
        </w:rPr>
        <w:t>户口簿户主页与本人页）、居住证和工作证明（含有效的社保缴交证明）等三种证明选择一种上传。报名时证件类型填写的是非居民身份证的考生，请按实际情况上传相应证件的电子照片，报考医学门类专业的还需上传相应证书或证明，报考专升本的考生还需</w:t>
      </w:r>
      <w:r>
        <w:rPr>
          <w:rFonts w:ascii="仿宋_GB2312" w:hAnsi="仿宋_GB2312" w:eastAsia="仿宋_GB2312" w:cs="仿宋_GB2312"/>
          <w:sz w:val="32"/>
        </w:rPr>
        <w:t>上传</w:t>
      </w:r>
      <w:r>
        <w:rPr>
          <w:rFonts w:hint="eastAsia" w:ascii="仿宋_GB2312" w:hAnsi="仿宋_GB2312" w:eastAsia="仿宋_GB2312" w:cs="仿宋_GB2312"/>
          <w:sz w:val="32"/>
        </w:rPr>
        <w:t>相应的专科及以上毕业证书</w:t>
      </w:r>
      <w:r>
        <w:rPr>
          <w:rFonts w:hint="eastAsia" w:ascii="仿宋_GB2312" w:hAnsi="仿宋_GB2312" w:eastAsia="仿宋_GB2312" w:cs="仿宋_GB2312"/>
          <w:color w:val="auto"/>
          <w:sz w:val="32"/>
        </w:rPr>
        <w:t>。每个上传的材料应大于50KB且小于100KB。</w:t>
      </w:r>
    </w:p>
    <w:p>
      <w:pPr>
        <w:pStyle w:val="9"/>
        <w:shd w:val="clear" w:color="auto" w:fill="FFFFFF"/>
        <w:spacing w:beforeAutospacing="0" w:afterAutospacing="0" w:line="600" w:lineRule="exact"/>
        <w:ind w:firstLine="645"/>
        <w:jc w:val="both"/>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证件照片具体要求如下：</w:t>
      </w:r>
    </w:p>
    <w:p>
      <w:pPr>
        <w:spacing w:line="600" w:lineRule="exact"/>
        <w:ind w:firstLine="632"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（1）本人近期正面、免冠、彩色（白色背景）证件照（电子版JPG格式，长宽比例为4:3），大小应大于50KB且小于100KB，照片必须清晰完整。</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（2）证件照图像应真实表达考生本人相貌。禁止对图像整体或局部进行镜像、旋转等变换操作。不得对人像特征（如伤疤、痣、发型等）进行技术处理。</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（3）证件照图像应对焦准确、层次清晰、色彩真实、无明显畸变。</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（4）除头像外，不得添加边框、文字、图案等其他内容。</w:t>
      </w:r>
    </w:p>
    <w:p>
      <w:pPr>
        <w:numPr>
          <w:ilvl w:val="0"/>
          <w:numId w:val="1"/>
        </w:numPr>
        <w:spacing w:line="600" w:lineRule="exact"/>
        <w:ind w:firstLine="632" w:firstLineChars="200"/>
        <w:rPr>
          <w:rStyle w:val="13"/>
          <w:rFonts w:hint="eastAsia" w:ascii="仿宋_GB2312" w:hAnsi="仿宋_GB2312" w:eastAsia="仿宋_GB2312" w:cs="仿宋_GB2312"/>
        </w:rPr>
      </w:pPr>
      <w:r>
        <w:rPr>
          <w:rStyle w:val="13"/>
          <w:rFonts w:hint="eastAsia" w:ascii="仿宋_GB2312" w:hAnsi="仿宋_GB2312" w:eastAsia="仿宋_GB2312" w:cs="仿宋_GB2312"/>
        </w:rPr>
        <w:t>网上缴费</w:t>
      </w:r>
    </w:p>
    <w:p>
      <w:pPr>
        <w:spacing w:line="580" w:lineRule="exact"/>
        <w:ind w:firstLine="632" w:firstLineChars="200"/>
        <w:rPr>
          <w:rStyle w:val="13"/>
          <w:rFonts w:hint="eastAsia" w:ascii="仿宋_GB2312" w:hAnsi="仿宋_GB2312" w:eastAsia="仿宋_GB2312" w:cs="仿宋_GB2312"/>
          <w:color w:val="auto"/>
        </w:rPr>
      </w:pPr>
      <w:r>
        <w:rPr>
          <w:rStyle w:val="13"/>
          <w:rFonts w:hint="eastAsia" w:ascii="仿宋_GB2312" w:hAnsi="仿宋_GB2312" w:eastAsia="仿宋_GB2312" w:cs="仿宋_GB2312"/>
          <w:b w:val="0"/>
          <w:bCs/>
          <w:color w:val="auto"/>
        </w:rPr>
        <w:t>考生核对自己输入信息与上传材料无误后，应按省发改委、省财政厅闽发改价格函〔2023〕238号文件核定的收费标准缴费，考生应交纳报名考务费每生160元，完成网上缴纳考试费。</w:t>
      </w:r>
    </w:p>
    <w:p>
      <w:pPr>
        <w:spacing w:line="600" w:lineRule="exact"/>
        <w:ind w:firstLine="632" w:firstLineChars="200"/>
        <w:rPr>
          <w:rStyle w:val="13"/>
          <w:rFonts w:hint="eastAsia" w:ascii="仿宋_GB2312" w:hAnsi="仿宋_GB2312" w:eastAsia="仿宋_GB2312" w:cs="仿宋_GB2312"/>
          <w:color w:val="auto"/>
        </w:rPr>
      </w:pPr>
      <w:r>
        <w:rPr>
          <w:rStyle w:val="13"/>
          <w:rFonts w:hint="eastAsia" w:ascii="仿宋_GB2312" w:hAnsi="仿宋_GB2312" w:eastAsia="仿宋_GB2312" w:cs="仿宋_GB2312"/>
          <w:color w:val="auto"/>
        </w:rPr>
        <w:t>4.提交审核</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考生在完成网上缴费后，应再次确认所填报信息（含专业志愿）、上传材料真实、准确，并点击提交审核，报名系统将自动进行身份三要素核验，以及将通过教育部学信网对专升本考生进行网上学历验证。考生需记下系统给出的网上报名号ID，并牢记本人亲自设定的账号、密码，此账号密码还将用于考生成绩查询、第二次专业志愿确认、录取信息查询和填报征求志愿等，须</w:t>
      </w:r>
      <w:r>
        <w:rPr>
          <w:rStyle w:val="13"/>
          <w:rFonts w:hint="eastAsia" w:ascii="仿宋_GB2312" w:hAnsi="仿宋_GB2312" w:eastAsia="仿宋_GB2312" w:cs="仿宋_GB2312"/>
          <w:b w:val="0"/>
          <w:bCs/>
          <w:color w:val="auto"/>
        </w:rPr>
        <w:t>妥为</w:t>
      </w:r>
      <w:r>
        <w:rPr>
          <w:rStyle w:val="13"/>
          <w:rFonts w:hint="eastAsia" w:ascii="仿宋_GB2312" w:hAnsi="仿宋_GB2312" w:eastAsia="仿宋_GB2312" w:cs="仿宋_GB2312"/>
          <w:b w:val="0"/>
          <w:bCs/>
        </w:rPr>
        <w:t>保管。</w:t>
      </w:r>
    </w:p>
    <w:p>
      <w:pPr>
        <w:spacing w:line="600" w:lineRule="exact"/>
        <w:ind w:firstLine="632" w:firstLineChars="200"/>
        <w:rPr>
          <w:rStyle w:val="13"/>
          <w:rFonts w:hint="eastAsia" w:ascii="仿宋_GB2312" w:hAnsi="仿宋_GB2312" w:eastAsia="仿宋_GB2312" w:cs="仿宋_GB2312"/>
        </w:rPr>
      </w:pPr>
      <w:r>
        <w:rPr>
          <w:rStyle w:val="13"/>
          <w:rFonts w:hint="eastAsia" w:ascii="仿宋_GB2312" w:hAnsi="仿宋_GB2312" w:eastAsia="仿宋_GB2312" w:cs="仿宋_GB2312"/>
        </w:rPr>
        <w:t>5.信息确认</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（1）网上信息确认</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由各确认点完成，在考生完成提交审核后，各确认点应及时认真核对考生填报信息及上传的材料，进行网上确认，以便考生能及时查询审核结果。网上审核不通过的考生会有短信提示，请考生在收到短信提示后及时登录系统，查看审核结果并进行相应处理。</w:t>
      </w:r>
    </w:p>
    <w:p>
      <w:pPr>
        <w:numPr>
          <w:ilvl w:val="0"/>
          <w:numId w:val="2"/>
        </w:num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现场信息确认</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现场信息确认手续必须由考生本人办理。</w:t>
      </w:r>
      <w:r>
        <w:rPr>
          <w:rStyle w:val="13"/>
          <w:rFonts w:hint="eastAsia" w:ascii="仿宋_GB2312" w:hAnsi="仿宋_GB2312" w:eastAsia="仿宋_GB2312" w:cs="仿宋_GB2312"/>
          <w:b w:val="0"/>
          <w:bCs/>
          <w:color w:val="auto"/>
        </w:rPr>
        <w:t>需现场确认的考</w:t>
      </w:r>
      <w:r>
        <w:rPr>
          <w:rStyle w:val="13"/>
          <w:rFonts w:hint="eastAsia" w:ascii="仿宋_GB2312" w:hAnsi="仿宋_GB2312" w:eastAsia="仿宋_GB2312" w:cs="仿宋_GB2312"/>
          <w:b w:val="0"/>
          <w:bCs/>
        </w:rPr>
        <w:t>生按</w:t>
      </w:r>
      <w:r>
        <w:rPr>
          <w:rStyle w:val="13"/>
          <w:rFonts w:ascii="仿宋_GB2312" w:hAnsi="仿宋_GB2312" w:eastAsia="仿宋_GB2312" w:cs="仿宋_GB2312"/>
          <w:b w:val="0"/>
          <w:bCs/>
        </w:rPr>
        <w:t>规定</w:t>
      </w:r>
      <w:r>
        <w:rPr>
          <w:rStyle w:val="13"/>
          <w:rFonts w:hint="eastAsia" w:ascii="仿宋_GB2312" w:hAnsi="仿宋_GB2312" w:eastAsia="仿宋_GB2312" w:cs="仿宋_GB2312"/>
          <w:b w:val="0"/>
          <w:bCs/>
        </w:rPr>
        <w:t>的时间，到已选择的信息确认点进行报名信息核对确认，</w:t>
      </w:r>
      <w:r>
        <w:rPr>
          <w:rStyle w:val="13"/>
          <w:rFonts w:ascii="仿宋_GB2312" w:hAnsi="仿宋_GB2312" w:eastAsia="仿宋_GB2312" w:cs="仿宋_GB2312"/>
          <w:b w:val="0"/>
          <w:bCs/>
        </w:rPr>
        <w:t>包括</w:t>
      </w:r>
      <w:r>
        <w:rPr>
          <w:rStyle w:val="13"/>
          <w:rFonts w:hint="eastAsia" w:ascii="仿宋_GB2312" w:hAnsi="仿宋_GB2312" w:eastAsia="仿宋_GB2312" w:cs="仿宋_GB2312"/>
          <w:b w:val="0"/>
          <w:bCs/>
        </w:rPr>
        <w:t>交验有关证件、证明及复印件</w:t>
      </w:r>
      <w:r>
        <w:rPr>
          <w:rStyle w:val="13"/>
          <w:rFonts w:ascii="仿宋_GB2312" w:hAnsi="仿宋_GB2312" w:eastAsia="仿宋_GB2312" w:cs="仿宋_GB2312"/>
          <w:b w:val="0"/>
          <w:bCs/>
        </w:rPr>
        <w:t>，</w:t>
      </w:r>
      <w:r>
        <w:rPr>
          <w:rStyle w:val="13"/>
          <w:rFonts w:hint="eastAsia" w:ascii="仿宋_GB2312" w:hAnsi="仿宋_GB2312" w:eastAsia="仿宋_GB2312" w:cs="仿宋_GB2312"/>
          <w:b w:val="0"/>
          <w:bCs/>
        </w:rPr>
        <w:t>核对网上报名信息确认表，核对无误并签字后交现场确认点存档。凡未在规定时间内进行现场信息确认的，视为本人自动放弃本次考试报名，考试费不退。</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现场信息确认有关要求及交验材料</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①考生须携带本人二代居民身份证及</w:t>
      </w:r>
      <w:r>
        <w:rPr>
          <w:rStyle w:val="13"/>
          <w:rFonts w:ascii="仿宋_GB2312" w:hAnsi="仿宋_GB2312" w:eastAsia="仿宋_GB2312" w:cs="仿宋_GB2312"/>
          <w:b w:val="0"/>
          <w:bCs/>
        </w:rPr>
        <w:t>居民</w:t>
      </w:r>
      <w:r>
        <w:rPr>
          <w:rStyle w:val="13"/>
          <w:rFonts w:hint="eastAsia" w:ascii="仿宋_GB2312" w:hAnsi="仿宋_GB2312" w:eastAsia="仿宋_GB2312" w:cs="仿宋_GB2312"/>
          <w:b w:val="0"/>
          <w:bCs/>
        </w:rPr>
        <w:t>户口</w:t>
      </w:r>
      <w:r>
        <w:rPr>
          <w:rStyle w:val="13"/>
          <w:rFonts w:ascii="仿宋_GB2312" w:hAnsi="仿宋_GB2312" w:eastAsia="仿宋_GB2312" w:cs="仿宋_GB2312"/>
          <w:b w:val="0"/>
          <w:bCs/>
        </w:rPr>
        <w:t>簿</w:t>
      </w:r>
      <w:r>
        <w:rPr>
          <w:rStyle w:val="13"/>
          <w:rFonts w:hint="eastAsia" w:ascii="仿宋_GB2312" w:hAnsi="仿宋_GB2312" w:eastAsia="仿宋_GB2312" w:cs="仿宋_GB2312"/>
          <w:b w:val="0"/>
          <w:bCs/>
        </w:rPr>
        <w:t>、居住证、工作证明（</w:t>
      </w:r>
      <w:r>
        <w:rPr>
          <w:rStyle w:val="13"/>
          <w:rFonts w:ascii="仿宋_GB2312" w:hAnsi="仿宋_GB2312" w:eastAsia="仿宋_GB2312" w:cs="仿宋_GB2312"/>
          <w:b w:val="0"/>
          <w:bCs/>
        </w:rPr>
        <w:t>含</w:t>
      </w:r>
      <w:r>
        <w:rPr>
          <w:rStyle w:val="13"/>
          <w:rFonts w:hint="eastAsia" w:ascii="仿宋_GB2312" w:hAnsi="仿宋_GB2312" w:eastAsia="仿宋_GB2312" w:cs="仿宋_GB2312"/>
          <w:b w:val="0"/>
          <w:bCs/>
        </w:rPr>
        <w:t>有效社保缴交证明）三选一。报名时证件类型填写的是非居民身份证的考生请按实际情况携带相应材料前往现场。</w:t>
      </w:r>
    </w:p>
    <w:p>
      <w:pPr>
        <w:spacing w:line="600" w:lineRule="exact"/>
        <w:ind w:firstLine="632" w:firstLineChars="200"/>
        <w:rPr>
          <w:rStyle w:val="13"/>
          <w:rFonts w:hint="eastAsia" w:ascii="仿宋_GB2312" w:hAnsi="仿宋_GB2312" w:eastAsia="仿宋_GB2312" w:cs="仿宋_GB2312"/>
          <w:b w:val="0"/>
          <w:bCs/>
          <w:color w:val="FF0000"/>
        </w:rPr>
      </w:pPr>
      <w:r>
        <w:rPr>
          <w:rStyle w:val="13"/>
          <w:rFonts w:hint="eastAsia" w:ascii="仿宋_GB2312" w:hAnsi="仿宋_GB2312" w:eastAsia="仿宋_GB2312" w:cs="仿宋_GB2312"/>
          <w:b w:val="0"/>
          <w:bCs/>
        </w:rPr>
        <w:t>②网上报名时，学历信息网上验证未通过</w:t>
      </w:r>
      <w:r>
        <w:rPr>
          <w:rStyle w:val="13"/>
          <w:rFonts w:ascii="仿宋_GB2312" w:hAnsi="仿宋_GB2312" w:eastAsia="仿宋_GB2312" w:cs="仿宋_GB2312"/>
          <w:b w:val="0"/>
          <w:bCs/>
        </w:rPr>
        <w:t>的</w:t>
      </w:r>
      <w:r>
        <w:rPr>
          <w:rStyle w:val="13"/>
          <w:rFonts w:hint="eastAsia" w:ascii="仿宋_GB2312" w:hAnsi="仿宋_GB2312" w:eastAsia="仿宋_GB2312" w:cs="仿宋_GB2312"/>
          <w:b w:val="0"/>
          <w:bCs/>
        </w:rPr>
        <w:t>报考专升本的考生，须持经教育部审定核准的国民教育系列高等学校或高等教育自学考试机构颁发的大学专科及以上毕业证书、本科结业证书原件和复印件</w:t>
      </w:r>
      <w:r>
        <w:rPr>
          <w:rStyle w:val="13"/>
          <w:rFonts w:ascii="仿宋_GB2312" w:hAnsi="仿宋_GB2312" w:eastAsia="仿宋_GB2312" w:cs="仿宋_GB2312"/>
          <w:b w:val="0"/>
          <w:bCs/>
        </w:rPr>
        <w:t>，</w:t>
      </w:r>
      <w:r>
        <w:rPr>
          <w:rStyle w:val="13"/>
          <w:rFonts w:hint="eastAsia" w:ascii="仿宋_GB2312" w:hAnsi="仿宋_GB2312" w:eastAsia="仿宋_GB2312" w:cs="仿宋_GB2312"/>
          <w:b w:val="0"/>
          <w:bCs/>
        </w:rPr>
        <w:t>应届成人高校专科毕业生须持所在院校学籍管理部门加盖公章的《福建省成人高等学校专科应届毕业生审核表》，</w:t>
      </w:r>
      <w:r>
        <w:rPr>
          <w:rStyle w:val="13"/>
          <w:rFonts w:ascii="仿宋_GB2312" w:hAnsi="仿宋_GB2312" w:eastAsia="仿宋_GB2312" w:cs="仿宋_GB2312"/>
          <w:b w:val="0"/>
          <w:bCs/>
        </w:rPr>
        <w:t>到确认点办理确认手续，</w:t>
      </w:r>
      <w:r>
        <w:rPr>
          <w:rStyle w:val="13"/>
          <w:rFonts w:hint="eastAsia" w:ascii="仿宋_GB2312" w:hAnsi="仿宋_GB2312" w:eastAsia="仿宋_GB2312" w:cs="仿宋_GB2312"/>
          <w:b w:val="0"/>
          <w:bCs/>
        </w:rPr>
        <w:t>并</w:t>
      </w:r>
      <w:r>
        <w:rPr>
          <w:rStyle w:val="13"/>
          <w:rFonts w:ascii="仿宋_GB2312" w:hAnsi="仿宋_GB2312" w:eastAsia="仿宋_GB2312" w:cs="仿宋_GB2312"/>
          <w:b w:val="0"/>
          <w:bCs/>
        </w:rPr>
        <w:t>签署专升本考生资格确认</w:t>
      </w:r>
      <w:r>
        <w:rPr>
          <w:rStyle w:val="13"/>
          <w:rFonts w:hint="eastAsia" w:ascii="仿宋_GB2312" w:hAnsi="仿宋_GB2312" w:eastAsia="仿宋_GB2312" w:cs="仿宋_GB2312"/>
          <w:b w:val="0"/>
          <w:bCs/>
        </w:rPr>
        <w:t>承诺书。确认点需明确告知考生应</w:t>
      </w:r>
      <w:r>
        <w:rPr>
          <w:rStyle w:val="13"/>
          <w:rFonts w:hint="eastAsia" w:ascii="仿宋_GB2312" w:hAnsi="仿宋_GB2312" w:eastAsia="仿宋_GB2312" w:cs="仿宋_GB2312"/>
          <w:b w:val="0"/>
          <w:bCs/>
          <w:color w:val="auto"/>
        </w:rPr>
        <w:t>于10月</w:t>
      </w:r>
      <w:r>
        <w:rPr>
          <w:rStyle w:val="13"/>
          <w:rFonts w:ascii="仿宋_GB2312" w:hAnsi="仿宋_GB2312" w:eastAsia="仿宋_GB2312" w:cs="仿宋_GB2312"/>
          <w:b w:val="0"/>
          <w:bCs/>
          <w:color w:val="auto"/>
        </w:rPr>
        <w:t>11</w:t>
      </w:r>
      <w:r>
        <w:rPr>
          <w:rStyle w:val="13"/>
          <w:rFonts w:hint="eastAsia" w:ascii="仿宋_GB2312" w:hAnsi="仿宋_GB2312" w:eastAsia="仿宋_GB2312" w:cs="仿宋_GB2312"/>
          <w:b w:val="0"/>
          <w:bCs/>
          <w:color w:val="auto"/>
        </w:rPr>
        <w:t>日前向</w:t>
      </w:r>
      <w:r>
        <w:rPr>
          <w:rStyle w:val="13"/>
          <w:rFonts w:hint="eastAsia" w:ascii="仿宋_GB2312" w:hAnsi="仿宋_GB2312" w:eastAsia="仿宋_GB2312" w:cs="仿宋_GB2312"/>
          <w:b w:val="0"/>
          <w:bCs/>
        </w:rPr>
        <w:t>确认点所在市、县（区）教育招生考试机构提交教育部学信网出具的学历认证报告，逾期未提交的考生视为本人自动放弃本次考试报名，考试费不退</w:t>
      </w:r>
      <w:r>
        <w:rPr>
          <w:rStyle w:val="13"/>
          <w:rFonts w:ascii="仿宋_GB2312" w:hAnsi="仿宋_GB2312" w:eastAsia="仿宋_GB2312" w:cs="仿宋_GB2312"/>
          <w:b w:val="0"/>
          <w:bCs/>
        </w:rPr>
        <w:t>。</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③符合录取照顾政策免试和录取加分投档的考生，须交验原始证件和复印件；申请免试入学的优秀运动员还须交验本人申请书和省体育行政管理部门出具的《优秀运动员免试进入成人高等学校推荐表》；申请加分投档的运动健将和武术项目武英级运动员、一级运动员称号获得者，还须出具省级体育行政管理部门的运动成绩证明。</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④申请免试就读我省成人高校专升本的退役军人（自主就业退役士兵、自主择业军转干部、复员干部），须交验身份证、退役证（义务兵/士官退出现役证、军官转业证书、军官复员证书）、自主就业/自主择业证明（退役证上未注明的，复员干部无需提供）及符合相应报考条件的学历证书原件及复印件。</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⑤高职（高专）毕业生参加“欠发达地区计划”服务期满考核合格，可免试入读我省成人高校专升本，须交验高职（高专）毕业证书、《福建省高校毕业生服务基层项目证书》。</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⑥“选聘高校毕业生到村任职”、“三支一扶”（支教、支农、支医和扶贫）、“大学生志愿服务西部计划”、“农村义务教育阶段学校教师特设岗位计划”等项目服务期满并考核合格，可免试入读我省成人高校专升本，须交验普通高职（专科）毕业证和相关项目考核合格证。</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确认工作结束后，设区市教育招生考试机构应下载《2023年福建省成人高校考试招生符合照顾政策的考生花名册》并审核，将符合申请免试入学的考生名册及有关证件的复印件加盖公章后报送省教育考试院复核。</w:t>
      </w:r>
    </w:p>
    <w:p>
      <w:pPr>
        <w:pStyle w:val="26"/>
        <w:spacing w:after="0" w:line="600" w:lineRule="exact"/>
        <w:ind w:firstLine="632" w:firstLineChars="200"/>
        <w:rPr>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6.查询审核结果（网上信息确认的）</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各确认点会在考生完成提交审核后及时进行网上人工核验，时间大约需要48小时，请考生及时上网查看。</w:t>
      </w:r>
    </w:p>
    <w:p>
      <w:pPr>
        <w:pStyle w:val="26"/>
        <w:numPr>
          <w:ilvl w:val="0"/>
          <w:numId w:val="3"/>
        </w:numPr>
        <w:spacing w:after="0" w:line="600" w:lineRule="exact"/>
        <w:ind w:firstLine="632" w:firstLineChars="200"/>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sz w:val="32"/>
          <w:szCs w:val="32"/>
        </w:rPr>
        <w:t>打印网上确认单（网上信息确认的）</w:t>
      </w:r>
    </w:p>
    <w:p>
      <w:pPr>
        <w:pStyle w:val="26"/>
        <w:spacing w:after="0" w:line="600" w:lineRule="exact"/>
        <w:ind w:firstLine="632" w:firstLineChars="200"/>
        <w:rPr>
          <w:rStyle w:val="13"/>
          <w:rFonts w:hint="eastAsia" w:ascii="仿宋_GB2312" w:hAnsi="仿宋_GB2312" w:eastAsia="仿宋_GB2312" w:cs="仿宋_GB2312"/>
          <w:sz w:val="32"/>
          <w:szCs w:val="32"/>
        </w:rPr>
      </w:pPr>
      <w:r>
        <w:rPr>
          <w:rStyle w:val="13"/>
          <w:rFonts w:hint="eastAsia" w:ascii="仿宋_GB2312" w:hAnsi="仿宋_GB2312" w:eastAsia="仿宋_GB2312" w:cs="仿宋_GB2312"/>
          <w:b w:val="0"/>
          <w:bCs/>
          <w:sz w:val="32"/>
          <w:szCs w:val="32"/>
        </w:rPr>
        <w:t>考生在查询到审核结果通过时，即可打印网上确认单，报名成功。</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hint="eastAsia" w:ascii="仿宋_GB2312" w:hAnsi="仿宋_GB2312" w:eastAsia="仿宋_GB2312" w:cs="仿宋_GB2312"/>
        </w:rPr>
        <w:t>8.第二次专业志愿网上确认。</w:t>
      </w:r>
      <w:r>
        <w:rPr>
          <w:rStyle w:val="13"/>
          <w:rFonts w:hint="eastAsia" w:ascii="仿宋_GB2312" w:hAnsi="仿宋_GB2312" w:eastAsia="仿宋_GB2312" w:cs="仿宋_GB2312"/>
          <w:b w:val="0"/>
          <w:bCs/>
          <w:color w:val="auto"/>
        </w:rPr>
        <w:t xml:space="preserve">请考生在11月28日9:00-11月30日18:00登陆报名网站，认真查看公布的院校招生计划数。所报专业未下达招生计划数的考生，报名时所填报的相应志愿将失效，可凭个人账号密码进行第二次专业志愿确认，对报名时填报的专业志愿进行调整。 </w:t>
      </w:r>
    </w:p>
    <w:p>
      <w:pPr>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（四）报名组织</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考生网上报名信息确认工作由市、县（区）教育招生考试机构负责组织实施，各地应根据实际情况，合理设置本地区的信息确认点，向社会公布，并报省教育考试院备案。各确认点应配足</w:t>
      </w:r>
      <w:r>
        <w:rPr>
          <w:rStyle w:val="13"/>
          <w:rFonts w:ascii="仿宋_GB2312" w:hAnsi="仿宋_GB2312" w:eastAsia="仿宋_GB2312" w:cs="仿宋_GB2312"/>
          <w:b w:val="0"/>
          <w:bCs/>
        </w:rPr>
        <w:t>配强</w:t>
      </w:r>
      <w:r>
        <w:rPr>
          <w:rStyle w:val="13"/>
          <w:rFonts w:hint="eastAsia" w:ascii="仿宋_GB2312" w:hAnsi="仿宋_GB2312" w:eastAsia="仿宋_GB2312" w:cs="仿宋_GB2312"/>
          <w:b w:val="0"/>
          <w:bCs/>
        </w:rPr>
        <w:t>相应设备及工作人员，以保证信息确认工作按时、保质完成。</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四、考试</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（一）考试日期</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全国成人高等学校招生统一考试日期为10月21日-22日，具体时间安排见附件1-</w:t>
      </w:r>
      <w:r>
        <w:rPr>
          <w:rStyle w:val="13"/>
          <w:rFonts w:ascii="仿宋_GB2312" w:hAnsi="仿宋_GB2312" w:eastAsia="仿宋_GB2312" w:cs="仿宋_GB2312"/>
          <w:b w:val="0"/>
          <w:bCs/>
        </w:rPr>
        <w:t>2</w:t>
      </w:r>
      <w:r>
        <w:rPr>
          <w:rStyle w:val="13"/>
          <w:rFonts w:hint="eastAsia" w:ascii="仿宋_GB2312" w:hAnsi="仿宋_GB2312" w:eastAsia="仿宋_GB2312" w:cs="仿宋_GB2312"/>
          <w:b w:val="0"/>
          <w:bCs/>
        </w:rPr>
        <w:t>。</w:t>
      </w:r>
    </w:p>
    <w:p>
      <w:pPr>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（二）考试科目</w:t>
      </w:r>
    </w:p>
    <w:p>
      <w:pPr>
        <w:spacing w:line="600" w:lineRule="exact"/>
        <w:ind w:firstLine="632" w:firstLineChars="200"/>
        <w:rPr>
          <w:rFonts w:eastAsia="仿宋_GB2312"/>
        </w:rPr>
      </w:pPr>
      <w:r>
        <w:rPr>
          <w:rFonts w:eastAsia="仿宋_GB2312"/>
        </w:rPr>
        <w:t>1.高起专考试按文科、理科分别设置统考科目。统考科目均为语文、数学、</w:t>
      </w:r>
      <w:r>
        <w:rPr>
          <w:rFonts w:eastAsia="仿宋_GB2312"/>
          <w:color w:val="auto"/>
        </w:rPr>
        <w:t>英语</w:t>
      </w:r>
      <w:r>
        <w:rPr>
          <w:rFonts w:eastAsia="仿宋_GB2312"/>
        </w:rPr>
        <w:t>三门，其中数学分文科类、理科类两种。</w:t>
      </w:r>
    </w:p>
    <w:p>
      <w:pPr>
        <w:spacing w:line="600" w:lineRule="exact"/>
        <w:ind w:firstLine="632" w:firstLineChars="200"/>
        <w:rPr>
          <w:rFonts w:eastAsia="仿宋_GB2312"/>
        </w:rPr>
      </w:pPr>
      <w:r>
        <w:rPr>
          <w:rFonts w:eastAsia="仿宋_GB2312"/>
        </w:rPr>
        <w:t>2.专升本考试统考科目为政治、英语和一门专业基础课。</w:t>
      </w:r>
      <w:r>
        <w:rPr>
          <w:rFonts w:hint="eastAsia" w:eastAsia="仿宋_GB2312"/>
        </w:rPr>
        <w:t>专业基础课</w:t>
      </w:r>
      <w:r>
        <w:rPr>
          <w:rStyle w:val="13"/>
          <w:rFonts w:hint="eastAsia" w:ascii="仿宋_GB2312" w:hAnsi="仿宋_GB2312" w:eastAsia="仿宋_GB2312" w:cs="仿宋_GB2312"/>
          <w:b w:val="0"/>
          <w:bCs/>
        </w:rPr>
        <w:t>考试科目对照表见附件1-3。</w:t>
      </w:r>
    </w:p>
    <w:p>
      <w:pPr>
        <w:pStyle w:val="5"/>
        <w:spacing w:line="600" w:lineRule="exact"/>
        <w:ind w:firstLine="632" w:firstLineChars="200"/>
        <w:rPr>
          <w:rFonts w:ascii="Times New Roman" w:hAnsi="Times New Roman" w:eastAsia="仿宋_GB2312"/>
          <w:szCs w:val="32"/>
        </w:rPr>
      </w:pPr>
      <w:r>
        <w:rPr>
          <w:rFonts w:ascii="Times New Roman" w:hAnsi="Times New Roman" w:eastAsia="仿宋_GB2312"/>
          <w:szCs w:val="32"/>
        </w:rPr>
        <w:t>3.成人高校艺术和体育类专业招生必须对考生进行专业加试。其它专业是否加试由各有关成人高校自行确定。</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（三）考试内容及时长</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color w:val="auto"/>
        </w:rPr>
        <w:t>统考科目由教育部依据20</w:t>
      </w:r>
      <w:r>
        <w:rPr>
          <w:rStyle w:val="13"/>
          <w:rFonts w:ascii="仿宋_GB2312" w:hAnsi="仿宋_GB2312" w:eastAsia="仿宋_GB2312" w:cs="仿宋_GB2312"/>
          <w:b w:val="0"/>
          <w:bCs/>
          <w:color w:val="auto"/>
        </w:rPr>
        <w:t>20</w:t>
      </w:r>
      <w:r>
        <w:rPr>
          <w:rStyle w:val="13"/>
          <w:rFonts w:hint="eastAsia" w:ascii="仿宋_GB2312" w:hAnsi="仿宋_GB2312" w:eastAsia="仿宋_GB2312" w:cs="仿宋_GB2312"/>
          <w:b w:val="0"/>
          <w:bCs/>
          <w:color w:val="auto"/>
        </w:rPr>
        <w:t>年版《全国各类成人高等学校招生复习考试大纲》</w:t>
      </w:r>
      <w:r>
        <w:rPr>
          <w:rStyle w:val="13"/>
          <w:rFonts w:hint="eastAsia" w:ascii="仿宋_GB2312" w:hAnsi="仿宋_GB2312" w:eastAsia="仿宋_GB2312" w:cs="仿宋_GB2312"/>
          <w:b w:val="0"/>
          <w:bCs/>
        </w:rPr>
        <w:t>的要求进行命题。所有统考科目每科试题满分均为150分；高起专的统考科目每门考试时长为120分钟，专升本每门考试时长为150分钟。</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（四）试卷形式</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我省高起专</w:t>
      </w:r>
      <w:r>
        <w:rPr>
          <w:rStyle w:val="13"/>
          <w:rFonts w:ascii="仿宋_GB2312" w:hAnsi="仿宋_GB2312" w:eastAsia="仿宋_GB2312" w:cs="仿宋_GB2312"/>
          <w:b w:val="0"/>
          <w:bCs/>
        </w:rPr>
        <w:t>、</w:t>
      </w:r>
      <w:r>
        <w:rPr>
          <w:rStyle w:val="13"/>
          <w:rFonts w:hint="eastAsia" w:ascii="仿宋_GB2312" w:hAnsi="仿宋_GB2312" w:eastAsia="仿宋_GB2312" w:cs="仿宋_GB2312"/>
          <w:b w:val="0"/>
          <w:bCs/>
        </w:rPr>
        <w:t>专升本的统考科目全部实行网上阅卷评分，采用答题卡作答方式。</w:t>
      </w:r>
    </w:p>
    <w:p>
      <w:pPr>
        <w:spacing w:line="600" w:lineRule="exact"/>
        <w:ind w:firstLine="632" w:firstLineChars="200"/>
        <w:rPr>
          <w:rStyle w:val="13"/>
          <w:rFonts w:ascii="楷体_GB2312" w:hAnsi="楷体_GB2312" w:eastAsia="楷体_GB2312" w:cs="楷体_GB2312"/>
          <w:color w:val="auto"/>
        </w:rPr>
      </w:pPr>
      <w:r>
        <w:rPr>
          <w:rStyle w:val="13"/>
          <w:rFonts w:hint="eastAsia" w:ascii="楷体_GB2312" w:hAnsi="楷体_GB2312" w:eastAsia="楷体_GB2312" w:cs="楷体_GB2312"/>
          <w:color w:val="auto"/>
        </w:rPr>
        <w:t>（五）专业加试</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1.报考艺术、体育类专业的考生须参加招生学校组织的专业考试。相关成人高校必须组织专业加试，不得以任何理由推托。</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2.考生持网上报名确认单和二代居民身份证在学校规定时间内参加所报考第一志愿学校的专业加试。</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3.</w:t>
      </w:r>
      <w:r>
        <w:rPr>
          <w:rFonts w:eastAsia="仿宋_GB2312" w:cs="新宋体-18030"/>
          <w:color w:val="auto"/>
        </w:rPr>
        <w:t>成人高校进行专业加试须在招生简章中明确有关考试时间、考试办法等，并提前向社会公布</w:t>
      </w:r>
      <w:r>
        <w:rPr>
          <w:rStyle w:val="13"/>
          <w:rFonts w:hint="eastAsia" w:ascii="仿宋_GB2312" w:hAnsi="仿宋_GB2312" w:eastAsia="仿宋_GB2312" w:cs="仿宋_GB2312"/>
          <w:b w:val="0"/>
          <w:bCs/>
          <w:color w:val="auto"/>
        </w:rPr>
        <w:t>，自行命题和组织考试。考生的专业加试成绩及确定的加试合格考生名单必须在10月18日前报送省教育考试院备案。</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4.加试科目成绩不计入总分，满分为100分，60分及以上为合格。</w:t>
      </w:r>
    </w:p>
    <w:p>
      <w:pPr>
        <w:spacing w:line="600" w:lineRule="exact"/>
        <w:ind w:firstLine="632" w:firstLineChars="200"/>
        <w:rPr>
          <w:rStyle w:val="13"/>
          <w:rFonts w:ascii="楷体_GB2312" w:hAnsi="楷体_GB2312" w:eastAsia="楷体_GB2312" w:cs="楷体_GB2312"/>
          <w:color w:val="auto"/>
        </w:rPr>
      </w:pPr>
      <w:r>
        <w:rPr>
          <w:rStyle w:val="13"/>
          <w:rFonts w:hint="eastAsia" w:ascii="楷体_GB2312" w:hAnsi="楷体_GB2312" w:eastAsia="楷体_GB2312" w:cs="楷体_GB2312"/>
          <w:color w:val="auto"/>
        </w:rPr>
        <w:t>（六）考试组织</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w:t>
      </w:r>
      <w:r>
        <w:rPr>
          <w:rStyle w:val="13"/>
          <w:rFonts w:hint="eastAsia" w:ascii="仿宋_GB2312" w:hAnsi="仿宋_GB2312" w:eastAsia="仿宋_GB2312" w:cs="仿宋_GB2312"/>
          <w:b w:val="0"/>
          <w:bCs/>
          <w:color w:val="auto"/>
        </w:rPr>
        <w:t>成人高考工作在省招委会、省教育厅领导下，由省教育考试院</w:t>
      </w:r>
      <w:r>
        <w:rPr>
          <w:rStyle w:val="13"/>
          <w:rFonts w:ascii="仿宋_GB2312" w:hAnsi="仿宋_GB2312" w:eastAsia="仿宋_GB2312" w:cs="仿宋_GB2312"/>
          <w:b w:val="0"/>
          <w:bCs/>
          <w:color w:val="auto"/>
        </w:rPr>
        <w:t>负责管理</w:t>
      </w:r>
      <w:r>
        <w:rPr>
          <w:rStyle w:val="13"/>
          <w:rFonts w:hint="eastAsia" w:ascii="仿宋_GB2312" w:hAnsi="仿宋_GB2312" w:eastAsia="仿宋_GB2312" w:cs="仿宋_GB2312"/>
          <w:b w:val="0"/>
          <w:bCs/>
          <w:color w:val="auto"/>
        </w:rPr>
        <w:t>，各设区市</w:t>
      </w:r>
      <w:r>
        <w:rPr>
          <w:rStyle w:val="13"/>
          <w:rFonts w:ascii="仿宋_GB2312" w:hAnsi="仿宋_GB2312" w:eastAsia="仿宋_GB2312" w:cs="仿宋_GB2312"/>
          <w:b w:val="0"/>
          <w:bCs/>
          <w:color w:val="auto"/>
        </w:rPr>
        <w:t>在本级政府及招委会领导下</w:t>
      </w:r>
      <w:r>
        <w:rPr>
          <w:rStyle w:val="13"/>
          <w:rFonts w:hint="eastAsia" w:ascii="仿宋_GB2312" w:hAnsi="仿宋_GB2312" w:eastAsia="仿宋_GB2312" w:cs="仿宋_GB2312"/>
          <w:b w:val="0"/>
          <w:bCs/>
          <w:color w:val="auto"/>
        </w:rPr>
        <w:t>具体组织实施和管理本地区的考试工作。考区设在设区市人民政府所在地，</w:t>
      </w:r>
      <w:r>
        <w:rPr>
          <w:rStyle w:val="13"/>
          <w:rFonts w:ascii="仿宋_GB2312" w:hAnsi="仿宋_GB2312" w:eastAsia="仿宋_GB2312" w:cs="仿宋_GB2312"/>
          <w:b w:val="0"/>
          <w:bCs/>
          <w:color w:val="auto"/>
        </w:rPr>
        <w:t>若因特殊需要在县级人民政府所在地增设考点，须报省招委会批准。</w:t>
      </w:r>
      <w:r>
        <w:rPr>
          <w:rStyle w:val="13"/>
          <w:rFonts w:hint="eastAsia" w:ascii="仿宋_GB2312" w:hAnsi="仿宋_GB2312" w:eastAsia="仿宋_GB2312" w:cs="仿宋_GB2312"/>
          <w:b w:val="0"/>
          <w:bCs/>
          <w:color w:val="auto"/>
        </w:rPr>
        <w:t>考点全部安排在国家教育考试标准化考点。考生准考证号由省教育考试院组织全省按考区统一随机编排生成</w:t>
      </w:r>
      <w:r>
        <w:rPr>
          <w:rStyle w:val="13"/>
          <w:rFonts w:hint="eastAsia" w:ascii="仿宋_GB2312" w:hAnsi="仿宋_GB2312" w:eastAsia="仿宋_GB2312" w:cs="仿宋_GB2312"/>
          <w:b w:val="0"/>
          <w:bCs/>
        </w:rPr>
        <w:t>。</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10月13日9:00-10月20日18:00，考生须登录报名网站打印准考证。</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rPr>
        <w:t>2.成人高校招生考试属国家教育考试，试卷、参考答案和评分参考（包括备用卷、答题卡等）</w:t>
      </w:r>
      <w:r>
        <w:rPr>
          <w:rStyle w:val="13"/>
          <w:rFonts w:hint="eastAsia" w:ascii="仿宋_GB2312" w:hAnsi="仿宋_GB2312" w:eastAsia="仿宋_GB2312" w:cs="仿宋_GB2312"/>
          <w:b w:val="0"/>
          <w:bCs/>
          <w:color w:val="auto"/>
        </w:rPr>
        <w:t>应当按照教育工作国家秘密范围的有关规定严格管理，应加强安全保密设施建设，完善安全保密规章制度和岗位责任制，认真做好试卷运送、保管、分发、施考的安全保密工作，确保考试安全。</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3.考试期间，考生须携带准考证和二代居民身份证入场，考生应遵守《考场规则》和其它有关规定，对违纪作弊者依据《国家教育考试违规处理办法》（教育部令第33号）进行处理。对存在组织作弊、提供作弊器材、出售考题及答案、替考等涉嫌犯罪的严重作弊或扰乱考试秩序的行为，移送司法机关依法追究刑事责任。</w:t>
      </w:r>
    </w:p>
    <w:p>
      <w:pPr>
        <w:spacing w:line="600" w:lineRule="exact"/>
        <w:ind w:firstLine="632" w:firstLineChars="200"/>
        <w:rPr>
          <w:rStyle w:val="13"/>
          <w:rFonts w:ascii="楷体_GB2312" w:hAnsi="楷体_GB2312" w:eastAsia="楷体_GB2312" w:cs="楷体_GB2312"/>
          <w:color w:val="auto"/>
        </w:rPr>
      </w:pPr>
      <w:r>
        <w:rPr>
          <w:rStyle w:val="13"/>
          <w:rFonts w:hint="eastAsia" w:ascii="楷体_GB2312" w:hAnsi="楷体_GB2312" w:eastAsia="楷体_GB2312" w:cs="楷体_GB2312"/>
          <w:color w:val="auto"/>
        </w:rPr>
        <w:t>（七）阅卷及成绩查询</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我省成人高校招生全国统一考试全部实行网上阅卷。阅卷工作由省招委会、省教育厅组织统一进行，实行评卷院校负责制的管理体制。考生成绩由本人凭账号密码登陆报名网站查询，不公布，不对考生查卷。</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五、录取</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（一）录取形式、时间</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rPr>
        <w:t>我省成人高校招生工作全部实行计算机网上录取。录取工作分常规志愿录取和征求志愿录取两个阶段。招生录取工作从</w:t>
      </w:r>
      <w:r>
        <w:rPr>
          <w:rStyle w:val="13"/>
          <w:rFonts w:hint="eastAsia" w:ascii="仿宋_GB2312" w:hAnsi="仿宋_GB2312" w:eastAsia="仿宋_GB2312" w:cs="仿宋_GB2312"/>
          <w:b w:val="0"/>
          <w:bCs/>
          <w:color w:val="auto"/>
        </w:rPr>
        <w:t>1</w:t>
      </w:r>
      <w:r>
        <w:rPr>
          <w:rStyle w:val="13"/>
          <w:rFonts w:ascii="仿宋_GB2312" w:hAnsi="仿宋_GB2312" w:eastAsia="仿宋_GB2312" w:cs="仿宋_GB2312"/>
          <w:b w:val="0"/>
          <w:bCs/>
          <w:color w:val="auto"/>
        </w:rPr>
        <w:t>2</w:t>
      </w:r>
      <w:r>
        <w:rPr>
          <w:rStyle w:val="13"/>
          <w:rFonts w:hint="eastAsia" w:ascii="仿宋_GB2312" w:hAnsi="仿宋_GB2312" w:eastAsia="仿宋_GB2312" w:cs="仿宋_GB2312"/>
          <w:b w:val="0"/>
          <w:bCs/>
          <w:color w:val="auto"/>
        </w:rPr>
        <w:t>月4日正式开始，12月15日结束，具体时间安排如下：</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1.1</w:t>
      </w:r>
      <w:r>
        <w:rPr>
          <w:rStyle w:val="13"/>
          <w:rFonts w:ascii="仿宋_GB2312" w:hAnsi="仿宋_GB2312" w:eastAsia="仿宋_GB2312" w:cs="仿宋_GB2312"/>
          <w:b w:val="0"/>
          <w:bCs/>
          <w:color w:val="auto"/>
        </w:rPr>
        <w:t>2</w:t>
      </w:r>
      <w:r>
        <w:rPr>
          <w:rStyle w:val="13"/>
          <w:rFonts w:hint="eastAsia" w:ascii="仿宋_GB2312" w:hAnsi="仿宋_GB2312" w:eastAsia="仿宋_GB2312" w:cs="仿宋_GB2312"/>
          <w:b w:val="0"/>
          <w:bCs/>
          <w:color w:val="auto"/>
        </w:rPr>
        <w:t>月4日至12月8日为</w:t>
      </w:r>
      <w:r>
        <w:rPr>
          <w:rStyle w:val="13"/>
          <w:rFonts w:ascii="仿宋_GB2312" w:hAnsi="仿宋_GB2312" w:eastAsia="仿宋_GB2312" w:cs="仿宋_GB2312"/>
          <w:b w:val="0"/>
          <w:bCs/>
          <w:color w:val="auto"/>
        </w:rPr>
        <w:t>高起专、</w:t>
      </w:r>
      <w:r>
        <w:rPr>
          <w:rStyle w:val="13"/>
          <w:rFonts w:hint="eastAsia" w:ascii="仿宋_GB2312" w:hAnsi="仿宋_GB2312" w:eastAsia="仿宋_GB2312" w:cs="仿宋_GB2312"/>
          <w:b w:val="0"/>
          <w:bCs/>
          <w:color w:val="auto"/>
        </w:rPr>
        <w:t>专升本院校录取。</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2.12月9日9:00至10日18:00为网上填报征求志愿时间，凡未录取的考生可登陆福建省教育考试院网站填报征求志愿。</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3.12月11日至15日为征求志愿录取。</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（二）录取工作机制</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rPr>
        <w:t>录取工作实行“招生院校负责，省教育考试院监督”制度，即：在符合成人高校招生报名条件，考试成绩达到投档分数线的考生中，由招生学校根据“从高分到低分择优录取”的原则，决定考生录取与否和录取的专业，同时负责对遗留问题的处理。省教育考试院在录取时，根据国家招生政策对招生学校录取名单进行审核，对其录取工作予以监督，对不符合招生政策规定的行为予以纠正。</w:t>
      </w:r>
      <w:r>
        <w:rPr>
          <w:rStyle w:val="13"/>
          <w:rFonts w:hint="eastAsia" w:ascii="仿宋_GB2312" w:hAnsi="仿宋_GB2312" w:eastAsia="仿宋_GB2312" w:cs="仿宋_GB2312"/>
          <w:b w:val="0"/>
          <w:bCs/>
          <w:color w:val="auto"/>
        </w:rPr>
        <w:t>各招生院校要充分发挥校内纪检、监察部门的作用，加强校内自我监督，建立健全自我约束机制。</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（三）录取控制分数线</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录取控制分数线由省教育厅按分科类招生计划数划定</w:t>
      </w:r>
      <w:r>
        <w:rPr>
          <w:rStyle w:val="13"/>
          <w:rFonts w:hint="eastAsia" w:ascii="仿宋_GB2312" w:hAnsi="仿宋_GB2312" w:eastAsia="仿宋_GB2312" w:cs="仿宋_GB2312"/>
          <w:b w:val="0"/>
          <w:bCs/>
        </w:rPr>
        <w:t>。其中：高起专的艺术类专业（除史论、编导类专业外）和体育类专业的</w:t>
      </w:r>
      <w:r>
        <w:rPr>
          <w:rStyle w:val="13"/>
          <w:rFonts w:hint="eastAsia" w:ascii="仿宋_GB2312" w:hAnsi="仿宋_GB2312" w:eastAsia="仿宋_GB2312" w:cs="仿宋_GB2312"/>
          <w:b w:val="0"/>
          <w:bCs/>
          <w:color w:val="auto"/>
        </w:rPr>
        <w:t>文考</w:t>
      </w:r>
      <w:r>
        <w:rPr>
          <w:rStyle w:val="13"/>
          <w:rFonts w:hint="eastAsia" w:ascii="仿宋_GB2312" w:hAnsi="仿宋_GB2312" w:eastAsia="仿宋_GB2312" w:cs="仿宋_GB2312"/>
          <w:b w:val="0"/>
          <w:bCs/>
        </w:rPr>
        <w:t>控制分数线不得低于相应招生类型和考试科类控制分数线的70%，</w:t>
      </w:r>
      <w:r>
        <w:rPr>
          <w:rStyle w:val="13"/>
          <w:rFonts w:hint="eastAsia" w:ascii="仿宋_GB2312" w:hAnsi="仿宋_GB2312" w:eastAsia="仿宋_GB2312" w:cs="仿宋_GB2312"/>
          <w:b w:val="0"/>
          <w:bCs/>
          <w:color w:val="auto"/>
        </w:rPr>
        <w:t>艺术类高起专考生数学成绩不计入总分，由招生学校录取时作为参考；高起专的公安类成人高校的全部专业、医学（药学类除外）专业和中央司法警官学院的监狱管理专业、劳教管理专业，如上线生源不足可适当降低控制分数线，但不得低于相应考试科类控制分数线的70%。专升本的录取控制分数线须报教育部备案。</w:t>
      </w:r>
    </w:p>
    <w:p>
      <w:pPr>
        <w:spacing w:line="600" w:lineRule="exact"/>
        <w:ind w:firstLine="632" w:firstLineChars="200"/>
        <w:rPr>
          <w:rStyle w:val="13"/>
          <w:rFonts w:ascii="楷体_GB2312" w:hAnsi="楷体_GB2312" w:eastAsia="楷体_GB2312" w:cs="楷体_GB2312"/>
        </w:rPr>
      </w:pPr>
      <w:r>
        <w:rPr>
          <w:rStyle w:val="13"/>
          <w:rFonts w:hint="eastAsia" w:ascii="楷体_GB2312" w:hAnsi="楷体_GB2312" w:eastAsia="楷体_GB2312" w:cs="楷体_GB2312"/>
        </w:rPr>
        <w:t>（四）投档审录</w:t>
      </w:r>
    </w:p>
    <w:p>
      <w:pPr>
        <w:spacing w:line="600" w:lineRule="exact"/>
        <w:ind w:firstLine="632" w:firstLineChars="200"/>
        <w:rPr>
          <w:rStyle w:val="13"/>
          <w:rFonts w:ascii="仿宋_GB2312" w:hAnsi="仿宋_GB2312" w:eastAsia="仿宋_GB2312" w:cs="仿宋_GB2312"/>
          <w:b w:val="0"/>
          <w:bCs/>
          <w:color w:val="auto"/>
        </w:rPr>
      </w:pPr>
      <w:r>
        <w:rPr>
          <w:rStyle w:val="13"/>
          <w:rFonts w:hint="eastAsia" w:ascii="仿宋_GB2312" w:hAnsi="仿宋_GB2312" w:eastAsia="仿宋_GB2312" w:cs="仿宋_GB2312"/>
          <w:b w:val="0"/>
          <w:bCs/>
          <w:color w:val="auto"/>
        </w:rPr>
        <w:t>录取时，省教育考试院根据考生志愿顺序将上线的考生电子档案材料向招生学校全部投档，学校按专业志愿择优录取。</w:t>
      </w:r>
      <w:r>
        <w:rPr>
          <w:rFonts w:hint="eastAsia" w:ascii="仿宋_GB2312" w:hAnsi="仿宋_GB2312" w:eastAsia="仿宋_GB2312" w:cs="仿宋_GB2312"/>
          <w:color w:val="auto"/>
          <w:kern w:val="0"/>
        </w:rPr>
        <w:t>对于有专业课加试的学校，根据加试合格考生名单向招生学校顺序投档。招生学校根据考生参加统考的成绩，由高分到低分择优录取</w:t>
      </w:r>
      <w:r>
        <w:rPr>
          <w:rFonts w:hint="eastAsia" w:ascii="微软雅黑" w:hAnsi="微软雅黑" w:eastAsia="微软雅黑" w:cs="宋体"/>
          <w:color w:val="auto"/>
          <w:kern w:val="0"/>
        </w:rPr>
        <w:t>(</w:t>
      </w:r>
      <w:r>
        <w:rPr>
          <w:rStyle w:val="13"/>
          <w:rFonts w:hint="eastAsia" w:ascii="仿宋_GB2312" w:hAnsi="仿宋_GB2312" w:eastAsia="仿宋_GB2312" w:cs="仿宋_GB2312"/>
          <w:b w:val="0"/>
          <w:bCs/>
          <w:color w:val="auto"/>
        </w:rPr>
        <w:t>艺术类和体育类专业在考生文化课统考成绩达到录取控制分数线的基础上，按招生学校的加试专业课成绩从高分到低分择优录取)。如上线生源不足，招生学校可提出降分申请，经批准，适当降分投档，降分幅度最大不超过20分。</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录取新生名单由招生院校提出、省教育考试院审核。招生学校按审核后的录取名单，负责将录取通知书寄达考生本人。</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六、录取照顾政策</w:t>
      </w:r>
    </w:p>
    <w:p>
      <w:pPr>
        <w:adjustRightInd w:val="0"/>
        <w:snapToGrid w:val="0"/>
        <w:spacing w:line="600" w:lineRule="exact"/>
        <w:ind w:firstLine="632" w:firstLineChars="200"/>
        <w:rPr>
          <w:rFonts w:hint="eastAsia" w:ascii="楷体_GB2312" w:hAnsi="楷体_GB2312" w:eastAsia="楷体_GB2312" w:cs="楷体_GB2312"/>
          <w:b/>
          <w:szCs w:val="24"/>
        </w:rPr>
      </w:pPr>
      <w:r>
        <w:rPr>
          <w:rStyle w:val="13"/>
          <w:rFonts w:hint="eastAsia" w:ascii="楷体_GB2312" w:hAnsi="楷体_GB2312" w:eastAsia="楷体_GB2312" w:cs="楷体_GB2312"/>
        </w:rPr>
        <w:t>（一）</w:t>
      </w:r>
      <w:r>
        <w:rPr>
          <w:rFonts w:hint="eastAsia" w:ascii="楷体_GB2312" w:hAnsi="楷体_GB2312" w:eastAsia="楷体_GB2312" w:cs="楷体_GB2312"/>
          <w:b/>
          <w:szCs w:val="24"/>
        </w:rPr>
        <w:t>下列考生</w:t>
      </w:r>
      <w:r>
        <w:rPr>
          <w:rStyle w:val="13"/>
          <w:rFonts w:hint="eastAsia" w:ascii="楷体_GB2312" w:hAnsi="楷体_GB2312" w:eastAsia="楷体_GB2312" w:cs="楷体_GB2312"/>
        </w:rPr>
        <w:t>可免试入学</w:t>
      </w:r>
    </w:p>
    <w:p>
      <w:pPr>
        <w:spacing w:line="600" w:lineRule="exact"/>
        <w:ind w:firstLine="632" w:firstLineChars="200"/>
        <w:rPr>
          <w:rStyle w:val="13"/>
          <w:rFonts w:ascii="仿宋_GB2312" w:hAnsi="仿宋_GB2312" w:eastAsia="仿宋_GB2312" w:cs="仿宋_GB2312"/>
          <w:b w:val="0"/>
          <w:bCs/>
        </w:rPr>
      </w:pPr>
      <w:r>
        <w:rPr>
          <w:rStyle w:val="13"/>
          <w:rFonts w:ascii="仿宋_GB2312" w:hAnsi="仿宋_GB2312" w:eastAsia="仿宋_GB2312" w:cs="仿宋_GB2312"/>
          <w:b w:val="0"/>
          <w:bCs/>
        </w:rPr>
        <w:t>1.</w:t>
      </w:r>
      <w:r>
        <w:rPr>
          <w:rStyle w:val="13"/>
          <w:rFonts w:hint="eastAsia" w:ascii="仿宋_GB2312" w:hAnsi="仿宋_GB2312" w:eastAsia="仿宋_GB2312" w:cs="仿宋_GB2312"/>
          <w:b w:val="0"/>
          <w:bCs/>
        </w:rPr>
        <w:t>获得“全国劳动模范”“全国先进工作者”称号、“全国‘五一’劳动奖章”获得者</w:t>
      </w:r>
      <w:r>
        <w:rPr>
          <w:rStyle w:val="13"/>
          <w:rFonts w:ascii="仿宋_GB2312" w:hAnsi="仿宋_GB2312" w:eastAsia="仿宋_GB2312" w:cs="仿宋_GB2312"/>
          <w:b w:val="0"/>
          <w:bCs/>
        </w:rPr>
        <w:t>。</w:t>
      </w:r>
    </w:p>
    <w:p>
      <w:pPr>
        <w:spacing w:line="600" w:lineRule="exact"/>
        <w:ind w:firstLine="632" w:firstLineChars="200"/>
        <w:rPr>
          <w:rStyle w:val="13"/>
          <w:rFonts w:hint="eastAsia" w:ascii="仿宋_GB2312" w:hAnsi="仿宋_GB2312" w:eastAsia="仿宋_GB2312" w:cs="仿宋_GB2312"/>
          <w:b w:val="0"/>
          <w:bCs/>
        </w:rPr>
      </w:pPr>
      <w:r>
        <w:rPr>
          <w:rStyle w:val="13"/>
          <w:rFonts w:ascii="仿宋_GB2312" w:hAnsi="仿宋_GB2312" w:eastAsia="仿宋_GB2312" w:cs="仿宋_GB2312"/>
          <w:b w:val="0"/>
          <w:bCs/>
        </w:rPr>
        <w:t>2.</w:t>
      </w:r>
      <w:r>
        <w:rPr>
          <w:rStyle w:val="13"/>
          <w:rFonts w:hint="eastAsia" w:ascii="仿宋_GB2312" w:hAnsi="仿宋_GB2312" w:eastAsia="仿宋_GB2312" w:cs="仿宋_GB2312"/>
          <w:b w:val="0"/>
          <w:bCs/>
        </w:rPr>
        <w:t>奥运会、世界杯赛和世界锦标赛的奥运会项目前八名获得者、非奥运会项目前六名获得者</w:t>
      </w:r>
      <w:r>
        <w:rPr>
          <w:rStyle w:val="13"/>
          <w:rFonts w:ascii="仿宋_GB2312" w:hAnsi="仿宋_GB2312" w:eastAsia="仿宋_GB2312" w:cs="仿宋_GB2312"/>
          <w:b w:val="0"/>
          <w:bCs/>
        </w:rPr>
        <w:t>，</w:t>
      </w:r>
      <w:r>
        <w:rPr>
          <w:rStyle w:val="13"/>
          <w:rFonts w:hint="eastAsia" w:ascii="仿宋_GB2312" w:hAnsi="仿宋_GB2312" w:eastAsia="仿宋_GB2312" w:cs="仿宋_GB2312"/>
          <w:b w:val="0"/>
          <w:bCs/>
        </w:rPr>
        <w:t>亚运会、亚洲杯赛和亚洲锦标赛的奥运会项目前六名获得者、非奥运会项目前三名获得者</w:t>
      </w:r>
      <w:r>
        <w:rPr>
          <w:rStyle w:val="13"/>
          <w:rFonts w:ascii="仿宋_GB2312" w:hAnsi="仿宋_GB2312" w:eastAsia="仿宋_GB2312" w:cs="仿宋_GB2312"/>
          <w:b w:val="0"/>
          <w:bCs/>
        </w:rPr>
        <w:t>，</w:t>
      </w:r>
      <w:r>
        <w:rPr>
          <w:rStyle w:val="13"/>
          <w:rFonts w:hint="eastAsia" w:ascii="仿宋_GB2312" w:hAnsi="仿宋_GB2312" w:eastAsia="仿宋_GB2312" w:cs="仿宋_GB2312"/>
          <w:b w:val="0"/>
          <w:bCs/>
        </w:rPr>
        <w:t>全运会、全国锦标赛和全国冠军赛的奥运会项目前三名获得者、非奥运会项目冠军获得者。</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上述运动员报名时必须出具省级体育行政管理部门审核的《优秀运动员申请免试进入成人高等学校学习推荐表》（国家体育总局监制）。</w:t>
      </w:r>
    </w:p>
    <w:p>
      <w:pPr>
        <w:spacing w:line="540" w:lineRule="exact"/>
        <w:ind w:firstLine="570"/>
        <w:rPr>
          <w:rFonts w:eastAsia="仿宋_GB2312"/>
        </w:rPr>
      </w:pPr>
      <w:r>
        <w:rPr>
          <w:rStyle w:val="13"/>
          <w:rFonts w:ascii="仿宋_GB2312" w:hAnsi="仿宋_GB2312" w:eastAsia="仿宋_GB2312" w:cs="仿宋_GB2312"/>
          <w:b w:val="0"/>
          <w:bCs/>
        </w:rPr>
        <w:t>3.</w:t>
      </w:r>
      <w:r>
        <w:rPr>
          <w:rFonts w:eastAsia="仿宋_GB2312"/>
        </w:rPr>
        <w:t>参加</w:t>
      </w:r>
      <w:r>
        <w:rPr>
          <w:rStyle w:val="13"/>
          <w:rFonts w:ascii="仿宋_GB2312" w:hAnsi="仿宋_GB2312" w:eastAsia="仿宋_GB2312" w:cs="仿宋_GB2312"/>
          <w:b w:val="0"/>
          <w:bCs/>
        </w:rPr>
        <w:t>“</w:t>
      </w:r>
      <w:r>
        <w:rPr>
          <w:rFonts w:eastAsia="仿宋_GB2312"/>
        </w:rPr>
        <w:t>选聘高校毕业生到村任职</w:t>
      </w:r>
      <w:r>
        <w:rPr>
          <w:rStyle w:val="13"/>
          <w:rFonts w:ascii="仿宋_GB2312" w:hAnsi="仿宋_GB2312" w:eastAsia="仿宋_GB2312" w:cs="仿宋_GB2312"/>
          <w:b w:val="0"/>
          <w:bCs/>
        </w:rPr>
        <w:t>”“</w:t>
      </w:r>
      <w:r>
        <w:rPr>
          <w:rFonts w:eastAsia="仿宋_GB2312"/>
        </w:rPr>
        <w:t>三支一扶(支教、支农、支医和扶贫)</w:t>
      </w:r>
      <w:r>
        <w:rPr>
          <w:rStyle w:val="13"/>
          <w:rFonts w:ascii="仿宋_GB2312" w:hAnsi="仿宋_GB2312" w:eastAsia="仿宋_GB2312" w:cs="仿宋_GB2312"/>
          <w:b w:val="0"/>
          <w:bCs/>
        </w:rPr>
        <w:t>”“</w:t>
      </w:r>
      <w:r>
        <w:rPr>
          <w:rFonts w:eastAsia="仿宋_GB2312"/>
        </w:rPr>
        <w:t>大学生志愿服务西部计划</w:t>
      </w:r>
      <w:r>
        <w:rPr>
          <w:rStyle w:val="13"/>
          <w:rFonts w:ascii="仿宋_GB2312" w:hAnsi="仿宋_GB2312" w:eastAsia="仿宋_GB2312" w:cs="仿宋_GB2312"/>
          <w:b w:val="0"/>
          <w:bCs/>
        </w:rPr>
        <w:t>”“</w:t>
      </w:r>
      <w:r>
        <w:rPr>
          <w:rFonts w:eastAsia="仿宋_GB2312"/>
        </w:rPr>
        <w:t>农村义务教育阶段学校教师特设岗位计划</w:t>
      </w:r>
      <w:r>
        <w:rPr>
          <w:rStyle w:val="13"/>
          <w:rFonts w:ascii="仿宋_GB2312" w:hAnsi="仿宋_GB2312" w:eastAsia="仿宋_GB2312" w:cs="仿宋_GB2312"/>
          <w:b w:val="0"/>
          <w:bCs/>
        </w:rPr>
        <w:t>”</w:t>
      </w:r>
      <w:r>
        <w:rPr>
          <w:rStyle w:val="13"/>
          <w:rFonts w:ascii="仿宋_GB2312" w:hAnsi="仿宋_GB2312" w:eastAsia="仿宋_GB2312" w:cs="仿宋_GB2312"/>
          <w:b w:val="0"/>
          <w:bCs/>
          <w:color w:val="auto"/>
        </w:rPr>
        <w:t>“欠发达地区计划”</w:t>
      </w:r>
      <w:r>
        <w:rPr>
          <w:rFonts w:eastAsia="仿宋_GB2312"/>
        </w:rPr>
        <w:t>等项目服务期满并考核合格的普通高职（专科）毕业生，凭身份证、普通高职（专科）毕业证、相关项目考核合格证，可申请免试就读</w:t>
      </w:r>
      <w:r>
        <w:rPr>
          <w:rFonts w:hint="eastAsia" w:eastAsia="仿宋_GB2312"/>
        </w:rPr>
        <w:t>我省</w:t>
      </w:r>
      <w:r>
        <w:rPr>
          <w:rFonts w:eastAsia="仿宋_GB2312"/>
        </w:rPr>
        <w:t>的成人高校专升本。</w:t>
      </w:r>
    </w:p>
    <w:p>
      <w:pPr>
        <w:spacing w:line="540" w:lineRule="exact"/>
        <w:ind w:firstLine="570"/>
      </w:pPr>
      <w:r>
        <w:rPr>
          <w:rFonts w:hint="eastAsia" w:ascii="仿宋_GB2312" w:hAnsi="仿宋_GB2312" w:eastAsia="仿宋_GB2312" w:cs="仿宋_GB2312"/>
        </w:rPr>
        <w:t>4.</w:t>
      </w:r>
      <w:r>
        <w:rPr>
          <w:rFonts w:hint="eastAsia" w:ascii="仿宋_GB2312" w:hAnsi="仿宋_GB2312" w:eastAsia="仿宋_GB2312" w:cs="仿宋_GB2312"/>
          <w:color w:val="auto"/>
        </w:rPr>
        <w:t>符合专升本报考条件的退役</w:t>
      </w:r>
      <w:r>
        <w:rPr>
          <w:rFonts w:eastAsia="仿宋_GB2312"/>
          <w:color w:val="auto"/>
        </w:rPr>
        <w:t>军人（自主就业退役士兵、自主择业军转干部、复员干部），凭身份证、退役证（义务兵/士官退出现役证、军官转业证书、军官复员证书）及相应的学历证书，可申请免试就读</w:t>
      </w:r>
      <w:r>
        <w:rPr>
          <w:rFonts w:hint="eastAsia" w:eastAsia="仿宋_GB2312"/>
          <w:color w:val="auto"/>
        </w:rPr>
        <w:t>我</w:t>
      </w:r>
      <w:r>
        <w:rPr>
          <w:rFonts w:eastAsia="仿宋_GB2312"/>
          <w:color w:val="auto"/>
        </w:rPr>
        <w:t>省的成人高校专升本。</w:t>
      </w:r>
    </w:p>
    <w:p>
      <w:pPr>
        <w:adjustRightInd w:val="0"/>
        <w:snapToGrid w:val="0"/>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w:t>
      </w:r>
      <w:r>
        <w:rPr>
          <w:rStyle w:val="13"/>
          <w:rFonts w:ascii="楷体_GB2312" w:hAnsi="楷体_GB2312" w:eastAsia="楷体_GB2312" w:cs="楷体_GB2312"/>
        </w:rPr>
        <w:t>二</w:t>
      </w:r>
      <w:r>
        <w:rPr>
          <w:rStyle w:val="13"/>
          <w:rFonts w:hint="eastAsia" w:ascii="楷体_GB2312" w:hAnsi="楷体_GB2312" w:eastAsia="楷体_GB2312" w:cs="楷体_GB2312"/>
        </w:rPr>
        <w:t>）下列考生享有在文考总分上加5</w:t>
      </w:r>
      <w:r>
        <w:rPr>
          <w:rStyle w:val="13"/>
          <w:rFonts w:ascii="楷体_GB2312" w:hAnsi="楷体_GB2312" w:eastAsia="楷体_GB2312" w:cs="楷体_GB2312"/>
        </w:rPr>
        <w:t>0</w:t>
      </w:r>
      <w:r>
        <w:rPr>
          <w:rStyle w:val="13"/>
          <w:rFonts w:hint="eastAsia" w:ascii="楷体_GB2312" w:hAnsi="楷体_GB2312" w:eastAsia="楷体_GB2312" w:cs="楷体_GB2312"/>
        </w:rPr>
        <w:t>分的政策</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运动健将和武术项目武英级运动员称号获得者（须经省级体育行政部门审核并出具运动成绩证明）。</w:t>
      </w:r>
    </w:p>
    <w:p>
      <w:pPr>
        <w:adjustRightInd w:val="0"/>
        <w:snapToGrid w:val="0"/>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w:t>
      </w:r>
      <w:r>
        <w:rPr>
          <w:rStyle w:val="13"/>
          <w:rFonts w:ascii="楷体_GB2312" w:hAnsi="楷体_GB2312" w:eastAsia="楷体_GB2312" w:cs="楷体_GB2312"/>
        </w:rPr>
        <w:t>三</w:t>
      </w:r>
      <w:r>
        <w:rPr>
          <w:rStyle w:val="13"/>
          <w:rFonts w:hint="eastAsia" w:ascii="楷体_GB2312" w:hAnsi="楷体_GB2312" w:eastAsia="楷体_GB2312" w:cs="楷体_GB2312"/>
        </w:rPr>
        <w:t>）下列考生享有在文考总分上加</w:t>
      </w:r>
      <w:r>
        <w:rPr>
          <w:rStyle w:val="13"/>
          <w:rFonts w:ascii="楷体_GB2312" w:hAnsi="楷体_GB2312" w:eastAsia="楷体_GB2312" w:cs="楷体_GB2312"/>
        </w:rPr>
        <w:t>30</w:t>
      </w:r>
      <w:r>
        <w:rPr>
          <w:rStyle w:val="13"/>
          <w:rFonts w:hint="eastAsia" w:ascii="楷体_GB2312" w:hAnsi="楷体_GB2312" w:eastAsia="楷体_GB2312" w:cs="楷体_GB2312"/>
        </w:rPr>
        <w:t>分的政策</w:t>
      </w:r>
    </w:p>
    <w:p>
      <w:pPr>
        <w:spacing w:line="600" w:lineRule="exact"/>
        <w:ind w:firstLine="632" w:firstLineChars="200"/>
        <w:rPr>
          <w:rStyle w:val="13"/>
          <w:rFonts w:hint="eastAsia" w:ascii="仿宋_GB2312" w:hAnsi="仿宋_GB2312" w:eastAsia="仿宋_GB2312" w:cs="仿宋_GB2312"/>
          <w:b w:val="0"/>
          <w:bCs/>
        </w:rPr>
      </w:pPr>
      <w:r>
        <w:rPr>
          <w:rStyle w:val="13"/>
          <w:rFonts w:hint="eastAsia" w:ascii="仿宋_GB2312" w:hAnsi="仿宋_GB2312" w:eastAsia="仿宋_GB2312" w:cs="仿宋_GB2312"/>
          <w:b w:val="0"/>
          <w:bCs/>
        </w:rPr>
        <w:t>一级运动员称号获得者（须经省级体育行政部门审核并出具运动成绩证明）。</w:t>
      </w:r>
    </w:p>
    <w:p>
      <w:pPr>
        <w:adjustRightInd w:val="0"/>
        <w:snapToGrid w:val="0"/>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w:t>
      </w:r>
      <w:r>
        <w:rPr>
          <w:rStyle w:val="13"/>
          <w:rFonts w:ascii="楷体_GB2312" w:hAnsi="楷体_GB2312" w:eastAsia="楷体_GB2312" w:cs="楷体_GB2312"/>
        </w:rPr>
        <w:t>四</w:t>
      </w:r>
      <w:r>
        <w:rPr>
          <w:rStyle w:val="13"/>
          <w:rFonts w:hint="eastAsia" w:ascii="楷体_GB2312" w:hAnsi="楷体_GB2312" w:eastAsia="楷体_GB2312" w:cs="楷体_GB2312"/>
        </w:rPr>
        <w:t>）下列考生享有在文考总分上加</w:t>
      </w:r>
      <w:r>
        <w:rPr>
          <w:rStyle w:val="13"/>
          <w:rFonts w:ascii="楷体_GB2312" w:hAnsi="楷体_GB2312" w:eastAsia="楷体_GB2312" w:cs="楷体_GB2312"/>
        </w:rPr>
        <w:t>20</w:t>
      </w:r>
      <w:r>
        <w:rPr>
          <w:rStyle w:val="13"/>
          <w:rFonts w:hint="eastAsia" w:ascii="楷体_GB2312" w:hAnsi="楷体_GB2312" w:eastAsia="楷体_GB2312" w:cs="楷体_GB2312"/>
        </w:rPr>
        <w:t>分的政策</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1.获得</w:t>
      </w:r>
      <w:r>
        <w:rPr>
          <w:rStyle w:val="13"/>
          <w:rFonts w:ascii="仿宋_GB2312" w:hAnsi="仿宋_GB2312" w:eastAsia="仿宋_GB2312" w:cs="仿宋_GB2312"/>
          <w:b w:val="0"/>
          <w:bCs/>
        </w:rPr>
        <w:t>设区市及</w:t>
      </w:r>
      <w:r>
        <w:rPr>
          <w:rStyle w:val="13"/>
          <w:rFonts w:hint="eastAsia" w:ascii="仿宋_GB2312" w:hAnsi="仿宋_GB2312" w:eastAsia="仿宋_GB2312" w:cs="仿宋_GB2312"/>
          <w:b w:val="0"/>
          <w:bCs/>
        </w:rPr>
        <w:t>以上人民政府、国务院各部委及省（自治区、市）、厅、局系统，国家特大型企业授予的劳动模范、先进生产（工作）者及科技进步（成果）奖获得者。</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2.获得省级工、青、妇等组织授予“五一劳动奖章”“新长征突击手”“三八红旗手”称号者。</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3.解放军、武警部队、公安干警荣立个人三等功以上者。</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4.归侨、归侨子女、华侨子女、台湾省籍考生。</w:t>
      </w:r>
    </w:p>
    <w:p>
      <w:pPr>
        <w:spacing w:line="600" w:lineRule="exact"/>
        <w:ind w:firstLine="632" w:firstLineChars="2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5.烈士子女、烈士配偶。</w:t>
      </w:r>
    </w:p>
    <w:p>
      <w:pPr>
        <w:adjustRightInd w:val="0"/>
        <w:snapToGrid w:val="0"/>
        <w:spacing w:line="600" w:lineRule="exact"/>
        <w:ind w:firstLine="632" w:firstLineChars="200"/>
        <w:rPr>
          <w:rFonts w:hint="eastAsia" w:ascii="仿宋_GB2312" w:hAnsi="仿宋_GB2312" w:eastAsia="仿宋_GB2312" w:cs="仿宋_GB2312"/>
          <w:color w:val="FF0000"/>
          <w:szCs w:val="24"/>
        </w:rPr>
      </w:pPr>
      <w:r>
        <w:rPr>
          <w:rStyle w:val="13"/>
          <w:rFonts w:hint="eastAsia" w:ascii="仿宋_GB2312" w:hAnsi="仿宋_GB2312" w:eastAsia="仿宋_GB2312" w:cs="仿宋_GB2312"/>
          <w:b w:val="0"/>
          <w:bCs/>
        </w:rPr>
        <w:t>6.</w:t>
      </w:r>
      <w:r>
        <w:rPr>
          <w:rFonts w:hint="eastAsia" w:ascii="仿宋_GB2312" w:hAnsi="仿宋_GB2312" w:eastAsia="仿宋_GB2312" w:cs="仿宋_GB2312"/>
          <w:color w:val="auto"/>
          <w:szCs w:val="24"/>
        </w:rPr>
        <w:t>全省19个民族乡</w:t>
      </w:r>
      <w:r>
        <w:rPr>
          <w:rFonts w:ascii="仿宋_GB2312" w:hAnsi="仿宋_GB2312" w:eastAsia="仿宋_GB2312" w:cs="仿宋_GB2312"/>
          <w:color w:val="auto"/>
          <w:szCs w:val="24"/>
        </w:rPr>
        <w:t>（</w:t>
      </w:r>
      <w:r>
        <w:rPr>
          <w:rFonts w:hint="eastAsia" w:ascii="仿宋_GB2312" w:hAnsi="仿宋_GB2312" w:eastAsia="仿宋_GB2312" w:cs="仿宋_GB2312"/>
          <w:bCs/>
          <w:color w:val="auto"/>
        </w:rPr>
        <w:t>福鼎市硖门乡、佳阳乡，福安市坂中乡、穆云乡、康厝乡，霞浦县盐田乡、水门乡、崇儒乡，</w:t>
      </w:r>
      <w:r>
        <w:rPr>
          <w:rFonts w:ascii="仿宋_GB2312" w:hAnsi="仿宋_GB2312" w:eastAsia="仿宋_GB2312" w:cs="仿宋_GB2312"/>
          <w:bCs/>
          <w:color w:val="auto"/>
        </w:rPr>
        <w:t>蕉城区金涵乡</w:t>
      </w:r>
      <w:r>
        <w:rPr>
          <w:rFonts w:hint="eastAsia" w:ascii="仿宋_GB2312" w:hAnsi="仿宋_GB2312" w:eastAsia="仿宋_GB2312" w:cs="仿宋_GB2312"/>
          <w:bCs/>
          <w:color w:val="auto"/>
        </w:rPr>
        <w:t>，</w:t>
      </w:r>
      <w:r>
        <w:rPr>
          <w:rFonts w:ascii="仿宋_GB2312" w:hAnsi="仿宋_GB2312" w:eastAsia="仿宋_GB2312" w:cs="仿宋_GB2312"/>
          <w:bCs/>
          <w:color w:val="auto"/>
        </w:rPr>
        <w:t>龙海</w:t>
      </w:r>
      <w:r>
        <w:rPr>
          <w:rFonts w:hint="eastAsia" w:ascii="仿宋_GB2312" w:hAnsi="仿宋_GB2312" w:eastAsia="仿宋_GB2312" w:cs="仿宋_GB2312"/>
          <w:bCs/>
          <w:color w:val="auto"/>
        </w:rPr>
        <w:t>区</w:t>
      </w:r>
      <w:r>
        <w:rPr>
          <w:rFonts w:ascii="仿宋_GB2312" w:hAnsi="仿宋_GB2312" w:eastAsia="仿宋_GB2312" w:cs="仿宋_GB2312"/>
          <w:bCs/>
          <w:color w:val="auto"/>
        </w:rPr>
        <w:t>隆教乡</w:t>
      </w:r>
      <w:r>
        <w:rPr>
          <w:rFonts w:hint="eastAsia" w:ascii="仿宋_GB2312" w:hAnsi="仿宋_GB2312" w:eastAsia="仿宋_GB2312" w:cs="仿宋_GB2312"/>
          <w:bCs/>
          <w:color w:val="auto"/>
        </w:rPr>
        <w:t>，</w:t>
      </w:r>
      <w:r>
        <w:rPr>
          <w:rFonts w:ascii="仿宋_GB2312" w:hAnsi="仿宋_GB2312" w:eastAsia="仿宋_GB2312" w:cs="仿宋_GB2312"/>
          <w:bCs/>
          <w:color w:val="auto"/>
        </w:rPr>
        <w:t>漳浦县湖西乡、赤岭乡</w:t>
      </w:r>
      <w:r>
        <w:rPr>
          <w:rFonts w:hint="eastAsia" w:ascii="仿宋_GB2312" w:hAnsi="仿宋_GB2312" w:eastAsia="仿宋_GB2312" w:cs="仿宋_GB2312"/>
          <w:bCs/>
          <w:color w:val="auto"/>
        </w:rPr>
        <w:t>，</w:t>
      </w:r>
      <w:r>
        <w:rPr>
          <w:rFonts w:ascii="仿宋_GB2312" w:hAnsi="仿宋_GB2312" w:eastAsia="仿宋_GB2312" w:cs="仿宋_GB2312"/>
          <w:bCs/>
          <w:color w:val="auto"/>
        </w:rPr>
        <w:t>连江县小沧乡</w:t>
      </w:r>
      <w:r>
        <w:rPr>
          <w:rFonts w:hint="eastAsia" w:ascii="仿宋_GB2312" w:hAnsi="仿宋_GB2312" w:eastAsia="仿宋_GB2312" w:cs="仿宋_GB2312"/>
          <w:bCs/>
          <w:color w:val="auto"/>
        </w:rPr>
        <w:t>，</w:t>
      </w:r>
      <w:r>
        <w:rPr>
          <w:rFonts w:ascii="仿宋_GB2312" w:hAnsi="仿宋_GB2312" w:eastAsia="仿宋_GB2312" w:cs="仿宋_GB2312"/>
          <w:bCs/>
          <w:color w:val="auto"/>
        </w:rPr>
        <w:t>罗源县霍口乡</w:t>
      </w:r>
      <w:r>
        <w:rPr>
          <w:rFonts w:hint="eastAsia" w:ascii="仿宋_GB2312" w:hAnsi="仿宋_GB2312" w:eastAsia="仿宋_GB2312" w:cs="仿宋_GB2312"/>
          <w:bCs/>
          <w:color w:val="auto"/>
        </w:rPr>
        <w:t>，</w:t>
      </w:r>
      <w:r>
        <w:rPr>
          <w:rFonts w:hint="eastAsia" w:ascii="仿宋_GB2312" w:hAnsi="仿宋_GB2312" w:eastAsia="仿宋_GB2312" w:cs="仿宋_GB2312"/>
          <w:color w:val="auto"/>
          <w:szCs w:val="24"/>
        </w:rPr>
        <w:t>泉州台商投资区</w:t>
      </w:r>
      <w:r>
        <w:rPr>
          <w:rFonts w:ascii="仿宋_GB2312" w:hAnsi="仿宋_GB2312" w:eastAsia="仿宋_GB2312" w:cs="仿宋_GB2312"/>
          <w:bCs/>
          <w:color w:val="auto"/>
        </w:rPr>
        <w:t>百崎乡</w:t>
      </w:r>
      <w:r>
        <w:rPr>
          <w:rFonts w:hint="eastAsia" w:ascii="仿宋_GB2312" w:hAnsi="仿宋_GB2312" w:eastAsia="仿宋_GB2312" w:cs="仿宋_GB2312"/>
          <w:bCs/>
          <w:color w:val="auto"/>
        </w:rPr>
        <w:t>，</w:t>
      </w:r>
      <w:r>
        <w:rPr>
          <w:rFonts w:ascii="仿宋_GB2312" w:hAnsi="仿宋_GB2312" w:eastAsia="仿宋_GB2312" w:cs="仿宋_GB2312"/>
          <w:bCs/>
          <w:color w:val="auto"/>
        </w:rPr>
        <w:t>宁化县治平乡</w:t>
      </w:r>
      <w:r>
        <w:rPr>
          <w:rFonts w:hint="eastAsia" w:ascii="仿宋_GB2312" w:hAnsi="仿宋_GB2312" w:eastAsia="仿宋_GB2312" w:cs="仿宋_GB2312"/>
          <w:bCs/>
          <w:color w:val="auto"/>
        </w:rPr>
        <w:t>，</w:t>
      </w:r>
      <w:r>
        <w:rPr>
          <w:rFonts w:ascii="仿宋_GB2312" w:hAnsi="仿宋_GB2312" w:eastAsia="仿宋_GB2312" w:cs="仿宋_GB2312"/>
          <w:bCs/>
          <w:color w:val="auto"/>
        </w:rPr>
        <w:t>永安市青水乡</w:t>
      </w:r>
      <w:r>
        <w:rPr>
          <w:rFonts w:hint="eastAsia" w:ascii="仿宋_GB2312" w:hAnsi="仿宋_GB2312" w:eastAsia="仿宋_GB2312" w:cs="仿宋_GB2312"/>
          <w:bCs/>
          <w:color w:val="auto"/>
        </w:rPr>
        <w:t>，</w:t>
      </w:r>
      <w:r>
        <w:rPr>
          <w:rFonts w:ascii="仿宋_GB2312" w:hAnsi="仿宋_GB2312" w:eastAsia="仿宋_GB2312" w:cs="仿宋_GB2312"/>
          <w:bCs/>
          <w:color w:val="auto"/>
        </w:rPr>
        <w:t>上杭县庐丰乡、官庄乡</w:t>
      </w:r>
      <w:r>
        <w:rPr>
          <w:rFonts w:ascii="仿宋_GB2312" w:hAnsi="仿宋_GB2312" w:eastAsia="仿宋_GB2312" w:cs="仿宋_GB2312"/>
          <w:color w:val="auto"/>
          <w:szCs w:val="24"/>
        </w:rPr>
        <w:t>）</w:t>
      </w:r>
      <w:r>
        <w:rPr>
          <w:rFonts w:hint="eastAsia" w:ascii="仿宋_GB2312" w:hAnsi="仿宋_GB2312" w:eastAsia="仿宋_GB2312" w:cs="仿宋_GB2312"/>
          <w:color w:val="auto"/>
          <w:szCs w:val="24"/>
        </w:rPr>
        <w:t>的少数民族考生，以及高山(享受高山补贴)和无桥梁、海堤与大陆相连的海岛等少数民族考生。</w:t>
      </w:r>
    </w:p>
    <w:p>
      <w:pPr>
        <w:spacing w:line="600" w:lineRule="exact"/>
        <w:ind w:firstLine="632" w:firstLineChars="200"/>
        <w:rPr>
          <w:rStyle w:val="13"/>
          <w:rFonts w:hint="eastAsia" w:ascii="仿宋_GB2312" w:hAnsi="仿宋_GB2312" w:eastAsia="仿宋_GB2312" w:cs="仿宋_GB2312"/>
          <w:b w:val="0"/>
          <w:bCs/>
        </w:rPr>
      </w:pPr>
      <w:r>
        <w:rPr>
          <w:rStyle w:val="13"/>
          <w:rFonts w:ascii="仿宋_GB2312" w:hAnsi="仿宋_GB2312" w:eastAsia="仿宋_GB2312" w:cs="仿宋_GB2312"/>
          <w:b w:val="0"/>
          <w:bCs/>
        </w:rPr>
        <w:t>7.</w:t>
      </w:r>
      <w:r>
        <w:rPr>
          <w:rStyle w:val="13"/>
          <w:rFonts w:hint="eastAsia" w:ascii="仿宋_GB2312" w:hAnsi="仿宋_GB2312" w:eastAsia="仿宋_GB2312" w:cs="仿宋_GB2312"/>
          <w:b w:val="0"/>
          <w:bCs/>
        </w:rPr>
        <w:t>国防科技工业三线企业单位（地处</w:t>
      </w:r>
      <w:r>
        <w:rPr>
          <w:rStyle w:val="13"/>
          <w:rFonts w:ascii="仿宋_GB2312" w:hAnsi="仿宋_GB2312" w:eastAsia="仿宋_GB2312" w:cs="仿宋_GB2312"/>
          <w:b w:val="0"/>
          <w:bCs/>
        </w:rPr>
        <w:t>设区市</w:t>
      </w:r>
      <w:r>
        <w:rPr>
          <w:rStyle w:val="13"/>
          <w:rFonts w:hint="eastAsia" w:ascii="仿宋_GB2312" w:hAnsi="仿宋_GB2312" w:eastAsia="仿宋_GB2312" w:cs="仿宋_GB2312"/>
          <w:b w:val="0"/>
          <w:bCs/>
        </w:rPr>
        <w:t>以上人民政府所在地的除外）获得企业表彰的先进生产（工作）者。</w:t>
      </w:r>
    </w:p>
    <w:p>
      <w:pPr>
        <w:spacing w:line="600" w:lineRule="exact"/>
        <w:ind w:firstLine="632" w:firstLineChars="200"/>
        <w:rPr>
          <w:rStyle w:val="13"/>
          <w:rFonts w:hint="eastAsia" w:ascii="仿宋_GB2312" w:hAnsi="仿宋_GB2312" w:eastAsia="仿宋_GB2312" w:cs="仿宋_GB2312"/>
          <w:b w:val="0"/>
          <w:bCs/>
          <w:color w:val="auto"/>
        </w:rPr>
      </w:pPr>
      <w:r>
        <w:rPr>
          <w:rStyle w:val="13"/>
          <w:rFonts w:ascii="仿宋_GB2312" w:hAnsi="仿宋_GB2312" w:eastAsia="仿宋_GB2312" w:cs="仿宋_GB2312"/>
          <w:b w:val="0"/>
          <w:bCs/>
          <w:color w:val="auto"/>
        </w:rPr>
        <w:t>8</w:t>
      </w:r>
      <w:r>
        <w:rPr>
          <w:rStyle w:val="13"/>
          <w:rFonts w:hint="eastAsia" w:ascii="仿宋_GB2312" w:hAnsi="仿宋_GB2312" w:eastAsia="仿宋_GB2312" w:cs="仿宋_GB2312"/>
          <w:b w:val="0"/>
          <w:bCs/>
          <w:color w:val="auto"/>
        </w:rPr>
        <w:t>.年满25周岁以上人员（1998年12月31日前出生）。</w:t>
      </w:r>
    </w:p>
    <w:p>
      <w:pPr>
        <w:adjustRightInd w:val="0"/>
        <w:snapToGrid w:val="0"/>
        <w:spacing w:line="600" w:lineRule="exact"/>
        <w:ind w:firstLine="632" w:firstLineChars="200"/>
        <w:rPr>
          <w:rStyle w:val="13"/>
          <w:rFonts w:hint="eastAsia" w:ascii="楷体_GB2312" w:hAnsi="楷体_GB2312" w:eastAsia="楷体_GB2312" w:cs="楷体_GB2312"/>
        </w:rPr>
      </w:pPr>
      <w:r>
        <w:rPr>
          <w:rStyle w:val="13"/>
          <w:rFonts w:hint="eastAsia" w:ascii="楷体_GB2312" w:hAnsi="楷体_GB2312" w:eastAsia="楷体_GB2312" w:cs="楷体_GB2312"/>
        </w:rPr>
        <w:t>（</w:t>
      </w:r>
      <w:r>
        <w:rPr>
          <w:rStyle w:val="13"/>
          <w:rFonts w:ascii="楷体_GB2312" w:hAnsi="楷体_GB2312" w:eastAsia="楷体_GB2312" w:cs="楷体_GB2312"/>
        </w:rPr>
        <w:t>五</w:t>
      </w:r>
      <w:r>
        <w:rPr>
          <w:rStyle w:val="13"/>
          <w:rFonts w:hint="eastAsia" w:ascii="楷体_GB2312" w:hAnsi="楷体_GB2312" w:eastAsia="楷体_GB2312" w:cs="楷体_GB2312"/>
        </w:rPr>
        <w:t>）下列考生享有在文考总分上加</w:t>
      </w:r>
      <w:r>
        <w:rPr>
          <w:rStyle w:val="13"/>
          <w:rFonts w:ascii="楷体_GB2312" w:hAnsi="楷体_GB2312" w:eastAsia="楷体_GB2312" w:cs="楷体_GB2312"/>
        </w:rPr>
        <w:t>10</w:t>
      </w:r>
      <w:r>
        <w:rPr>
          <w:rStyle w:val="13"/>
          <w:rFonts w:hint="eastAsia" w:ascii="楷体_GB2312" w:hAnsi="楷体_GB2312" w:eastAsia="楷体_GB2312" w:cs="楷体_GB2312"/>
        </w:rPr>
        <w:t>分的政策</w:t>
      </w:r>
    </w:p>
    <w:p>
      <w:pPr>
        <w:pStyle w:val="5"/>
        <w:spacing w:line="540" w:lineRule="exact"/>
        <w:ind w:firstLine="632" w:firstLineChars="200"/>
        <w:rPr>
          <w:rFonts w:ascii="Times New Roman" w:hAnsi="Times New Roman" w:eastAsia="仿宋_GB2312"/>
          <w:color w:val="auto"/>
          <w:szCs w:val="32"/>
        </w:rPr>
      </w:pPr>
      <w:r>
        <w:rPr>
          <w:rFonts w:ascii="Times New Roman" w:hAnsi="Times New Roman" w:eastAsia="仿宋_GB2312"/>
          <w:color w:val="auto"/>
          <w:szCs w:val="32"/>
        </w:rPr>
        <w:t>自主就业的退役士兵。</w:t>
      </w:r>
    </w:p>
    <w:p>
      <w:pPr>
        <w:spacing w:line="600" w:lineRule="exact"/>
        <w:ind w:firstLine="632" w:firstLineChars="200"/>
      </w:pPr>
      <w:r>
        <w:rPr>
          <w:rStyle w:val="13"/>
          <w:rFonts w:hint="eastAsia" w:ascii="楷体_GB2312" w:hAnsi="楷体_GB2312" w:eastAsia="楷体_GB2312" w:cs="楷体_GB2312"/>
        </w:rPr>
        <w:t>（</w:t>
      </w:r>
      <w:r>
        <w:rPr>
          <w:rStyle w:val="13"/>
          <w:rFonts w:ascii="楷体_GB2312" w:hAnsi="楷体_GB2312" w:eastAsia="楷体_GB2312" w:cs="楷体_GB2312"/>
        </w:rPr>
        <w:t>六</w:t>
      </w:r>
      <w:r>
        <w:rPr>
          <w:rStyle w:val="13"/>
          <w:rFonts w:hint="eastAsia" w:ascii="楷体_GB2312" w:hAnsi="楷体_GB2312" w:eastAsia="楷体_GB2312" w:cs="楷体_GB2312"/>
        </w:rPr>
        <w:t>）</w:t>
      </w:r>
      <w:r>
        <w:rPr>
          <w:rFonts w:eastAsia="仿宋_GB2312"/>
        </w:rPr>
        <w:t>符合照顾政策的考生必须于现场确认时交验相应的原始证件。</w:t>
      </w:r>
      <w:r>
        <w:rPr>
          <w:rFonts w:hint="eastAsia" w:ascii="仿宋_GB2312" w:eastAsia="仿宋_GB2312"/>
          <w:color w:val="auto"/>
        </w:rPr>
        <w:t>考生若同时享有多项加分或</w:t>
      </w:r>
      <w:r>
        <w:rPr>
          <w:rFonts w:ascii="仿宋_GB2312" w:eastAsia="仿宋_GB2312"/>
          <w:color w:val="auto"/>
        </w:rPr>
        <w:t>免试</w:t>
      </w:r>
      <w:r>
        <w:rPr>
          <w:rFonts w:hint="eastAsia" w:ascii="仿宋_GB2312" w:eastAsia="仿宋_GB2312"/>
          <w:color w:val="auto"/>
        </w:rPr>
        <w:t>录取政策项目的，在录取时取其中幅度最大的一项录取照顾政策执行。</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七、信息公开公示</w:t>
      </w:r>
    </w:p>
    <w:p>
      <w:pPr>
        <w:spacing w:line="600" w:lineRule="exact"/>
        <w:ind w:firstLine="675"/>
        <w:rPr>
          <w:rFonts w:hint="eastAsia" w:ascii="仿宋_GB2312" w:hAnsi="仿宋_GB2312" w:eastAsia="仿宋_GB2312" w:cs="仿宋_GB2312"/>
          <w:color w:val="auto"/>
          <w:kern w:val="0"/>
        </w:rPr>
      </w:pPr>
      <w:r>
        <w:rPr>
          <w:rStyle w:val="13"/>
          <w:rFonts w:hint="eastAsia" w:ascii="仿宋_GB2312" w:hAnsi="仿宋_GB2312" w:eastAsia="仿宋_GB2312" w:cs="仿宋_GB2312"/>
          <w:color w:val="auto"/>
        </w:rPr>
        <w:t>（一）</w:t>
      </w:r>
      <w:r>
        <w:rPr>
          <w:rFonts w:hint="eastAsia" w:ascii="仿宋_GB2312" w:hAnsi="仿宋_GB2312" w:eastAsia="仿宋_GB2312" w:cs="仿宋_GB2312"/>
          <w:color w:val="auto"/>
          <w:kern w:val="0"/>
        </w:rPr>
        <w:t>建立分级负责、规范有效的省、</w:t>
      </w:r>
      <w:r>
        <w:rPr>
          <w:rFonts w:hint="eastAsia" w:ascii="仿宋_GB2312" w:hAnsi="仿宋_GB2312" w:eastAsia="仿宋_GB2312" w:cs="仿宋_GB2312"/>
          <w:color w:val="auto"/>
        </w:rPr>
        <w:t>市</w:t>
      </w:r>
      <w:r>
        <w:rPr>
          <w:rFonts w:hint="eastAsia" w:ascii="仿宋_GB2312" w:hAnsi="仿宋_GB2312" w:eastAsia="仿宋_GB2312" w:cs="仿宋_GB2312"/>
          <w:color w:val="auto"/>
          <w:kern w:val="0"/>
        </w:rPr>
        <w:t>、高校等多级高校招生信息公开制度。高校招生信息公开工作要做到信息采集准确、公开程序规范、内容发布及时。</w:t>
      </w:r>
    </w:p>
    <w:p>
      <w:pPr>
        <w:widowControl/>
        <w:shd w:val="clear" w:color="auto" w:fill="FFFFFF"/>
        <w:spacing w:line="432" w:lineRule="atLeast"/>
        <w:ind w:firstLine="631"/>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pPr>
        <w:widowControl/>
        <w:shd w:val="clear" w:color="auto" w:fill="FFFFFF"/>
        <w:spacing w:line="432" w:lineRule="atLeast"/>
        <w:ind w:firstLine="631"/>
        <w:rPr>
          <w:rFonts w:hint="eastAsia" w:ascii="仿宋_GB2312" w:hAnsi="仿宋_GB2312" w:eastAsia="仿宋_GB2312" w:cs="仿宋_GB2312"/>
          <w:color w:val="auto"/>
        </w:rPr>
      </w:pPr>
      <w:r>
        <w:rPr>
          <w:rFonts w:hint="eastAsia" w:ascii="仿宋_GB2312" w:hAnsi="仿宋_GB2312" w:eastAsia="仿宋_GB2312" w:cs="仿宋_GB2312"/>
          <w:color w:val="auto"/>
          <w:kern w:val="0"/>
        </w:rPr>
        <w:t>各级教育行政部门、招生考试机构、有关高校应按照职责分工，对享受政策加分照顾、免试入学的考生相关信息进行公示。公示的考生资格信息应包括姓名、性别、所在单位、享受照顾政策类别、资格条件、测试项目、测试成绩、合格标准、拟录高校及专业和录取优惠分值等。有关单位应于录取前在各自门户网站进行信息公示，并保持公示半年。</w:t>
      </w:r>
    </w:p>
    <w:p>
      <w:pPr>
        <w:spacing w:line="600" w:lineRule="exact"/>
        <w:ind w:firstLine="632" w:firstLineChars="200"/>
        <w:rPr>
          <w:rFonts w:eastAsia="仿宋_GB2312"/>
          <w:color w:val="auto"/>
        </w:rPr>
      </w:pPr>
      <w:r>
        <w:rPr>
          <w:rStyle w:val="13"/>
          <w:rFonts w:hint="eastAsia" w:ascii="仿宋_GB2312" w:hAnsi="仿宋_GB2312" w:eastAsia="仿宋_GB2312" w:cs="仿宋_GB2312"/>
          <w:color w:val="auto"/>
        </w:rPr>
        <w:t>（三）</w:t>
      </w:r>
      <w:r>
        <w:rPr>
          <w:rFonts w:hint="eastAsia" w:ascii="仿宋_GB2312" w:hAnsi="仿宋_GB2312" w:eastAsia="仿宋_GB2312" w:cs="仿宋_GB2312"/>
          <w:color w:val="auto"/>
          <w:kern w:val="0"/>
        </w:rPr>
        <w:t>各级教育行政部门、招生考试机构、</w:t>
      </w:r>
      <w:r>
        <w:rPr>
          <w:rFonts w:eastAsia="仿宋_GB2312"/>
          <w:color w:val="auto"/>
        </w:rPr>
        <w:t>有关高校要在公示有关信息的同时，提供举报电子信箱、电话号码、受理举报的单位和通讯地址，并按照国家有关信访规定对举报事项及时调查处理。</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八、新生复查</w:t>
      </w:r>
    </w:p>
    <w:p>
      <w:pPr>
        <w:pStyle w:val="5"/>
        <w:spacing w:line="600" w:lineRule="exact"/>
        <w:ind w:firstLine="555"/>
        <w:rPr>
          <w:rFonts w:ascii="Times New Roman" w:hAnsi="Times New Roman" w:eastAsia="仿宋_GB2312"/>
          <w:szCs w:val="32"/>
        </w:rPr>
      </w:pPr>
      <w:r>
        <w:rPr>
          <w:rFonts w:ascii="Times New Roman" w:hAnsi="Times New Roman" w:eastAsia="仿宋_GB2312"/>
          <w:szCs w:val="32"/>
        </w:rPr>
        <w:t>新生入学注册期间，招生学校要对已报到新生信息进行全面复查。对新生报到所需录取通知书、身份证、加分照顾和免试入学资格证明等材料与录取新生名册、电子档案逐一进行比对核查，并通过“人证识别”等技术严防冒名顶替。对其中不符合条件或弄虚作假、违纪舞弊者，应按照相关规定取消其入学资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报省教育考试院备案。</w:t>
      </w:r>
    </w:p>
    <w:p>
      <w:pPr>
        <w:spacing w:line="600" w:lineRule="exact"/>
        <w:ind w:firstLine="632" w:firstLineChars="200"/>
        <w:rPr>
          <w:rStyle w:val="13"/>
          <w:rFonts w:hint="eastAsia" w:ascii="黑体" w:hAnsi="黑体" w:eastAsia="黑体" w:cs="黑体"/>
          <w:b w:val="0"/>
          <w:bCs/>
        </w:rPr>
      </w:pPr>
      <w:r>
        <w:rPr>
          <w:rStyle w:val="13"/>
          <w:rFonts w:hint="eastAsia" w:ascii="黑体" w:hAnsi="黑体" w:eastAsia="黑体" w:cs="黑体"/>
          <w:b w:val="0"/>
          <w:bCs/>
        </w:rPr>
        <w:t>九、其它</w:t>
      </w:r>
    </w:p>
    <w:p>
      <w:pPr>
        <w:spacing w:line="600" w:lineRule="exact"/>
        <w:ind w:firstLine="632" w:firstLineChars="200"/>
        <w:rPr>
          <w:rStyle w:val="13"/>
          <w:rFonts w:ascii="仿宋_GB2312" w:hAnsi="仿宋_GB2312" w:eastAsia="仿宋_GB2312" w:cs="仿宋_GB2312"/>
          <w:b w:val="0"/>
          <w:bCs/>
          <w:color w:val="auto"/>
        </w:rPr>
      </w:pPr>
      <w:r>
        <w:rPr>
          <w:rFonts w:eastAsia="仿宋_GB2312"/>
        </w:rPr>
        <w:t>对违反考试</w:t>
      </w:r>
      <w:r>
        <w:rPr>
          <w:rFonts w:hint="eastAsia" w:ascii="仿宋_GB2312" w:hAnsi="仿宋_GB2312" w:eastAsia="仿宋_GB2312" w:cs="仿宋_GB2312"/>
        </w:rPr>
        <w:t>招生有关规定的，依照《国家教育考试违规处理办法》（教育部令第33号）和《普通高等学校招生违规行为处理暂行办法》（教育部令第36号）严肃处理。</w:t>
      </w:r>
      <w:r>
        <w:rPr>
          <w:rStyle w:val="13"/>
          <w:rFonts w:hint="eastAsia" w:ascii="仿宋_GB2312" w:hAnsi="仿宋_GB2312" w:eastAsia="仿宋_GB2312" w:cs="仿宋_GB2312"/>
          <w:b w:val="0"/>
          <w:bCs/>
          <w:color w:val="auto"/>
        </w:rPr>
        <w:t>涉嫌犯罪的移送司法机关追究法律责任。</w:t>
      </w:r>
    </w:p>
    <w:p>
      <w:pPr>
        <w:spacing w:line="600" w:lineRule="exact"/>
        <w:ind w:firstLine="632" w:firstLineChars="200"/>
        <w:rPr>
          <w:rStyle w:val="13"/>
          <w:rFonts w:ascii="仿宋_GB2312" w:hAnsi="仿宋_GB2312" w:eastAsia="仿宋_GB2312" w:cs="仿宋_GB2312"/>
          <w:b w:val="0"/>
          <w:bCs/>
        </w:rPr>
      </w:pPr>
    </w:p>
    <w:p>
      <w:pPr>
        <w:spacing w:line="600" w:lineRule="exact"/>
        <w:ind w:left="1580" w:leftChars="200" w:hanging="948" w:hangingChars="3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附件：1-1.</w:t>
      </w:r>
      <w:r>
        <w:rPr>
          <w:rStyle w:val="13"/>
          <w:rFonts w:ascii="仿宋_GB2312" w:hAnsi="仿宋_GB2312" w:eastAsia="仿宋_GB2312" w:cs="仿宋_GB2312"/>
          <w:b w:val="0"/>
          <w:bCs/>
        </w:rPr>
        <w:t>202</w:t>
      </w:r>
      <w:r>
        <w:rPr>
          <w:rStyle w:val="13"/>
          <w:rFonts w:hint="eastAsia" w:ascii="仿宋_GB2312" w:hAnsi="仿宋_GB2312" w:eastAsia="仿宋_GB2312" w:cs="仿宋_GB2312"/>
          <w:b w:val="0"/>
          <w:bCs/>
        </w:rPr>
        <w:t>3年福建省成人高校考试招生</w:t>
      </w:r>
      <w:r>
        <w:rPr>
          <w:rStyle w:val="13"/>
          <w:rFonts w:ascii="仿宋_GB2312" w:hAnsi="仿宋_GB2312" w:eastAsia="仿宋_GB2312" w:cs="仿宋_GB2312"/>
          <w:b w:val="0"/>
          <w:bCs/>
        </w:rPr>
        <w:t>工作</w:t>
      </w:r>
      <w:r>
        <w:rPr>
          <w:rStyle w:val="13"/>
          <w:rFonts w:hint="eastAsia" w:ascii="仿宋_GB2312" w:hAnsi="仿宋_GB2312" w:eastAsia="仿宋_GB2312" w:cs="仿宋_GB2312"/>
          <w:b w:val="0"/>
          <w:bCs/>
        </w:rPr>
        <w:t>时间安排1-2.</w:t>
      </w:r>
      <w:r>
        <w:rPr>
          <w:rStyle w:val="13"/>
          <w:rFonts w:ascii="仿宋_GB2312" w:hAnsi="仿宋_GB2312" w:eastAsia="仿宋_GB2312" w:cs="仿宋_GB2312"/>
          <w:b w:val="0"/>
          <w:bCs/>
        </w:rPr>
        <w:t>202</w:t>
      </w:r>
      <w:r>
        <w:rPr>
          <w:rStyle w:val="13"/>
          <w:rFonts w:hint="eastAsia" w:ascii="仿宋_GB2312" w:hAnsi="仿宋_GB2312" w:eastAsia="仿宋_GB2312" w:cs="仿宋_GB2312"/>
          <w:b w:val="0"/>
          <w:bCs/>
        </w:rPr>
        <w:t>3年全国成人高校招生统一考试时间表</w:t>
      </w:r>
    </w:p>
    <w:p>
      <w:pPr>
        <w:spacing w:line="600" w:lineRule="exact"/>
        <w:ind w:firstLine="1580" w:firstLineChars="500"/>
        <w:rPr>
          <w:rStyle w:val="13"/>
          <w:rFonts w:ascii="仿宋_GB2312" w:hAnsi="仿宋_GB2312" w:eastAsia="仿宋_GB2312" w:cs="仿宋_GB2312"/>
          <w:b w:val="0"/>
          <w:bCs/>
        </w:rPr>
      </w:pPr>
      <w:r>
        <w:rPr>
          <w:rStyle w:val="13"/>
          <w:rFonts w:hint="eastAsia" w:ascii="仿宋_GB2312" w:hAnsi="仿宋_GB2312" w:eastAsia="仿宋_GB2312" w:cs="仿宋_GB2312"/>
          <w:b w:val="0"/>
          <w:bCs/>
        </w:rPr>
        <w:t>1-3.专科起点升本科招生专业与统一考试科目对照表</w:t>
      </w:r>
    </w:p>
    <w:p>
      <w:pPr>
        <w:spacing w:line="600" w:lineRule="exact"/>
        <w:ind w:firstLine="792" w:firstLineChars="200"/>
        <w:rPr>
          <w:rFonts w:ascii="方正小标宋简体" w:hAnsi="方正小标宋简体" w:eastAsia="方正小标宋简体" w:cs="方正小标宋简体"/>
          <w:bCs/>
          <w:sz w:val="40"/>
          <w:szCs w:val="40"/>
        </w:rPr>
      </w:pPr>
    </w:p>
    <w:p>
      <w:pPr>
        <w:spacing w:line="600" w:lineRule="exact"/>
        <w:rPr>
          <w:rFonts w:eastAsia="黑体"/>
          <w:bCs/>
        </w:rPr>
      </w:pPr>
    </w:p>
    <w:p>
      <w:pPr>
        <w:pStyle w:val="26"/>
        <w:ind w:firstLine="316"/>
        <w:rPr>
          <w:rFonts w:eastAsia="黑体"/>
          <w:bCs/>
          <w:sz w:val="32"/>
          <w:szCs w:val="32"/>
        </w:rPr>
      </w:pPr>
    </w:p>
    <w:p>
      <w:pPr>
        <w:pStyle w:val="26"/>
        <w:ind w:firstLine="316"/>
        <w:rPr>
          <w:rFonts w:eastAsia="黑体"/>
          <w:bCs/>
          <w:sz w:val="32"/>
          <w:szCs w:val="32"/>
        </w:rPr>
      </w:pPr>
    </w:p>
    <w:p>
      <w:pPr>
        <w:pStyle w:val="26"/>
        <w:ind w:firstLine="316"/>
        <w:rPr>
          <w:rFonts w:eastAsia="黑体"/>
          <w:bCs/>
          <w:sz w:val="32"/>
          <w:szCs w:val="32"/>
        </w:rPr>
      </w:pPr>
    </w:p>
    <w:p>
      <w:pPr>
        <w:pStyle w:val="26"/>
        <w:ind w:firstLine="316"/>
        <w:rPr>
          <w:rFonts w:eastAsia="黑体"/>
          <w:bCs/>
          <w:sz w:val="32"/>
          <w:szCs w:val="32"/>
        </w:rPr>
      </w:pPr>
    </w:p>
    <w:p>
      <w:pPr>
        <w:pStyle w:val="26"/>
        <w:ind w:firstLine="316"/>
        <w:rPr>
          <w:rFonts w:eastAsia="黑体"/>
          <w:bCs/>
          <w:sz w:val="32"/>
          <w:szCs w:val="32"/>
        </w:rPr>
      </w:pPr>
    </w:p>
    <w:p>
      <w:pPr>
        <w:pStyle w:val="26"/>
        <w:ind w:firstLine="316"/>
        <w:rPr>
          <w:rFonts w:eastAsia="黑体"/>
          <w:bCs/>
          <w:sz w:val="32"/>
          <w:szCs w:val="32"/>
        </w:rPr>
      </w:pPr>
    </w:p>
    <w:p>
      <w:pPr>
        <w:pStyle w:val="26"/>
        <w:ind w:firstLine="316"/>
        <w:rPr>
          <w:rFonts w:hint="eastAsia" w:eastAsia="黑体"/>
          <w:bCs/>
          <w:sz w:val="32"/>
          <w:szCs w:val="32"/>
        </w:rPr>
      </w:pPr>
    </w:p>
    <w:p>
      <w:pPr>
        <w:pStyle w:val="2"/>
        <w:ind w:firstLine="196"/>
      </w:pPr>
    </w:p>
    <w:p>
      <w:pPr>
        <w:spacing w:line="600" w:lineRule="exact"/>
        <w:rPr>
          <w:rFonts w:hint="eastAsia" w:ascii="黑体" w:hAnsi="黑体" w:eastAsia="黑体" w:cs="黑体"/>
          <w:bCs/>
        </w:rPr>
      </w:pPr>
    </w:p>
    <w:p>
      <w:pPr>
        <w:spacing w:line="600" w:lineRule="exact"/>
        <w:rPr>
          <w:rFonts w:hint="eastAsia" w:ascii="黑体" w:hAnsi="黑体" w:eastAsia="黑体" w:cs="黑体"/>
          <w:bCs/>
        </w:rPr>
      </w:pPr>
    </w:p>
    <w:p>
      <w:pPr>
        <w:spacing w:line="600" w:lineRule="exact"/>
        <w:rPr>
          <w:rFonts w:ascii="黑体" w:hAnsi="黑体" w:eastAsia="黑体" w:cs="黑体"/>
          <w:bCs/>
        </w:rPr>
      </w:pPr>
      <w:r>
        <w:rPr>
          <w:rFonts w:hint="eastAsia" w:ascii="黑体" w:hAnsi="黑体" w:eastAsia="黑体" w:cs="黑体"/>
          <w:bCs/>
        </w:rPr>
        <w:t>附件1-1</w:t>
      </w:r>
    </w:p>
    <w:p>
      <w:pPr>
        <w:spacing w:line="600" w:lineRule="exact"/>
        <w:jc w:val="center"/>
        <w:rPr>
          <w:rFonts w:ascii="方正小标宋简体" w:hAnsi="仿宋" w:eastAsia="方正小标宋简体"/>
          <w:sz w:val="44"/>
          <w:szCs w:val="44"/>
          <w:shd w:val="clear" w:color="auto" w:fill="FFFFFF"/>
        </w:rPr>
      </w:pPr>
      <w:r>
        <w:rPr>
          <w:rFonts w:ascii="方正小标宋简体" w:hAnsi="仿宋" w:eastAsia="方正小标宋简体"/>
          <w:sz w:val="44"/>
          <w:szCs w:val="44"/>
          <w:shd w:val="clear" w:color="auto" w:fill="FFFFFF"/>
        </w:rPr>
        <w:t>202</w:t>
      </w:r>
      <w:r>
        <w:rPr>
          <w:rFonts w:hint="eastAsia" w:ascii="方正小标宋简体" w:hAnsi="仿宋" w:eastAsia="方正小标宋简体"/>
          <w:sz w:val="44"/>
          <w:szCs w:val="44"/>
          <w:shd w:val="clear" w:color="auto" w:fill="FFFFFF"/>
        </w:rPr>
        <w:t>3年福建省成人高校考试招生</w:t>
      </w:r>
      <w:r>
        <w:rPr>
          <w:rFonts w:ascii="方正小标宋简体" w:hAnsi="仿宋" w:eastAsia="方正小标宋简体"/>
          <w:sz w:val="44"/>
          <w:szCs w:val="44"/>
          <w:shd w:val="clear" w:color="auto" w:fill="FFFFFF"/>
        </w:rPr>
        <w:t>工作</w:t>
      </w:r>
    </w:p>
    <w:p>
      <w:pPr>
        <w:spacing w:line="600" w:lineRule="exact"/>
        <w:jc w:val="center"/>
        <w:rPr>
          <w:rFonts w:ascii="仿宋_GB2312" w:hAnsi="仿宋" w:cs="宋体"/>
          <w:kern w:val="0"/>
          <w:sz w:val="44"/>
          <w:szCs w:val="44"/>
        </w:rPr>
      </w:pPr>
      <w:r>
        <w:rPr>
          <w:rFonts w:hint="eastAsia" w:ascii="方正小标宋简体" w:hAnsi="仿宋" w:eastAsia="方正小标宋简体"/>
          <w:sz w:val="44"/>
          <w:szCs w:val="44"/>
          <w:shd w:val="clear" w:color="auto" w:fill="FFFFFF"/>
        </w:rPr>
        <w:t>时间安排表</w:t>
      </w:r>
    </w:p>
    <w:p>
      <w:pPr>
        <w:widowControl/>
        <w:spacing w:line="500" w:lineRule="atLeast"/>
        <w:jc w:val="center"/>
        <w:rPr>
          <w:rFonts w:ascii="仿宋_GB2312" w:hAnsi="仿宋" w:cs="宋体"/>
          <w:kern w:val="0"/>
          <w:sz w:val="18"/>
          <w:szCs w:val="1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82"/>
        <w:gridCol w:w="3588"/>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序号</w:t>
            </w:r>
          </w:p>
        </w:tc>
        <w:tc>
          <w:tcPr>
            <w:tcW w:w="3588"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内  容</w:t>
            </w:r>
          </w:p>
        </w:tc>
        <w:tc>
          <w:tcPr>
            <w:tcW w:w="4628" w:type="dxa"/>
            <w:noWrap w:val="0"/>
            <w:vAlign w:val="center"/>
          </w:tcPr>
          <w:p>
            <w:pPr>
              <w:widowControl/>
              <w:jc w:val="center"/>
              <w:rPr>
                <w:rFonts w:hint="eastAsia" w:ascii="仿宋_GB2312" w:hAnsi="仿宋_GB2312" w:eastAsia="仿宋_GB2312" w:cs="仿宋_GB2312"/>
                <w:b/>
                <w:bCs/>
                <w:kern w:val="0"/>
              </w:rPr>
            </w:pPr>
            <w:r>
              <w:rPr>
                <w:rFonts w:hint="eastAsia" w:ascii="仿宋_GB2312" w:hAnsi="仿宋_GB2312" w:eastAsia="仿宋_GB2312" w:cs="仿宋_GB2312"/>
                <w:b/>
                <w:bCs/>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1</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网上报名（含材料上传）</w:t>
            </w:r>
          </w:p>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第一次志愿填报</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9月8日9:00--9月12日18:00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网上缴费截止</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9月12日18:30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3</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网上信息确认</w:t>
            </w:r>
          </w:p>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现场信息确认</w:t>
            </w:r>
          </w:p>
        </w:tc>
        <w:tc>
          <w:tcPr>
            <w:tcW w:w="4628" w:type="dxa"/>
            <w:noWrap w:val="0"/>
            <w:vAlign w:val="center"/>
          </w:tcPr>
          <w:p>
            <w:pPr>
              <w:widowControl/>
              <w:spacing w:line="500" w:lineRule="atLeast"/>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9月8日--14日</w:t>
            </w:r>
          </w:p>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9月12日--16日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3588" w:type="dxa"/>
            <w:noWrap w:val="0"/>
            <w:vAlign w:val="center"/>
          </w:tcPr>
          <w:p>
            <w:pPr>
              <w:pStyle w:val="5"/>
              <w:spacing w:line="400" w:lineRule="exact"/>
              <w:jc w:val="center"/>
              <w:rPr>
                <w:rFonts w:ascii="仿宋_GB2312" w:hAnsi="仿宋_GB2312" w:eastAsia="仿宋_GB2312" w:cs="仿宋_GB2312"/>
                <w:szCs w:val="32"/>
              </w:rPr>
            </w:pPr>
            <w:r>
              <w:rPr>
                <w:rFonts w:ascii="仿宋_GB2312" w:hAnsi="仿宋_GB2312" w:eastAsia="仿宋_GB2312" w:cs="仿宋_GB2312"/>
                <w:szCs w:val="32"/>
              </w:rPr>
              <w:t>网上打印准考证</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10月13日9:00--20日18:00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5</w:t>
            </w:r>
          </w:p>
          <w:p>
            <w:pPr>
              <w:pStyle w:val="26"/>
              <w:ind w:firstLine="316"/>
              <w:rPr>
                <w:rFonts w:hint="eastAsia" w:ascii="仿宋_GB2312" w:hAnsi="仿宋_GB2312" w:eastAsia="仿宋_GB2312" w:cs="仿宋_GB2312"/>
                <w:sz w:val="32"/>
                <w:szCs w:val="32"/>
              </w:rPr>
            </w:pPr>
          </w:p>
        </w:tc>
        <w:tc>
          <w:tcPr>
            <w:tcW w:w="3588" w:type="dxa"/>
            <w:noWrap w:val="0"/>
            <w:vAlign w:val="center"/>
          </w:tcPr>
          <w:p>
            <w:pPr>
              <w:pStyle w:val="5"/>
              <w:spacing w:line="400" w:lineRule="exact"/>
              <w:jc w:val="center"/>
              <w:rPr>
                <w:rFonts w:ascii="仿宋_GB2312" w:hAnsi="仿宋_GB2312" w:eastAsia="仿宋_GB2312" w:cs="仿宋_GB2312"/>
                <w:szCs w:val="32"/>
              </w:rPr>
            </w:pPr>
            <w:r>
              <w:rPr>
                <w:rFonts w:ascii="仿宋_GB2312" w:hAnsi="仿宋_GB2312" w:eastAsia="仿宋_GB2312" w:cs="仿宋_GB2312"/>
                <w:szCs w:val="32"/>
              </w:rPr>
              <w:t>全国成人高考</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Style w:val="13"/>
                <w:rFonts w:hint="eastAsia" w:ascii="仿宋_GB2312" w:hAnsi="仿宋_GB2312" w:eastAsia="仿宋_GB2312" w:cs="仿宋_GB2312"/>
                <w:b w:val="0"/>
                <w:bCs/>
                <w:color w:val="auto"/>
              </w:rPr>
              <w:t>10月21日--22日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kern w:val="0"/>
              </w:rPr>
              <w:t>6</w:t>
            </w:r>
          </w:p>
        </w:tc>
        <w:tc>
          <w:tcPr>
            <w:tcW w:w="3588"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第二次志愿信息确认</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11月</w:t>
            </w:r>
            <w:r>
              <w:rPr>
                <w:rFonts w:ascii="仿宋_GB2312" w:hAnsi="仿宋_GB2312" w:eastAsia="仿宋_GB2312" w:cs="仿宋_GB2312"/>
                <w:color w:val="auto"/>
              </w:rPr>
              <w:t>28</w:t>
            </w:r>
            <w:r>
              <w:rPr>
                <w:rFonts w:hint="eastAsia" w:ascii="仿宋_GB2312" w:hAnsi="仿宋_GB2312" w:eastAsia="仿宋_GB2312" w:cs="仿宋_GB2312"/>
                <w:color w:val="auto"/>
              </w:rPr>
              <w:t>日9:00--</w:t>
            </w:r>
            <w:r>
              <w:rPr>
                <w:rFonts w:ascii="仿宋_GB2312" w:hAnsi="仿宋_GB2312" w:eastAsia="仿宋_GB2312" w:cs="仿宋_GB2312"/>
                <w:color w:val="auto"/>
              </w:rPr>
              <w:t>30</w:t>
            </w:r>
            <w:r>
              <w:rPr>
                <w:rFonts w:hint="eastAsia" w:ascii="仿宋_GB2312" w:hAnsi="仿宋_GB2312" w:eastAsia="仿宋_GB2312" w:cs="仿宋_GB2312"/>
                <w:color w:val="auto"/>
              </w:rPr>
              <w:t>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专升本、高起专录取</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Fonts w:hint="eastAsia" w:ascii="仿宋_GB2312" w:hAnsi="仿宋_GB2312" w:eastAsia="仿宋_GB2312" w:cs="仿宋_GB2312"/>
                <w:color w:val="auto"/>
              </w:rPr>
              <w:t>12月4日--8日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8</w:t>
            </w:r>
          </w:p>
        </w:tc>
        <w:tc>
          <w:tcPr>
            <w:tcW w:w="3588" w:type="dxa"/>
            <w:noWrap w:val="0"/>
            <w:vAlign w:val="center"/>
          </w:tcPr>
          <w:p>
            <w:pPr>
              <w:widowControl/>
              <w:spacing w:line="500" w:lineRule="atLeast"/>
              <w:jc w:val="center"/>
              <w:rPr>
                <w:rFonts w:hint="eastAsia" w:ascii="仿宋_GB2312" w:hAnsi="仿宋_GB2312" w:eastAsia="仿宋_GB2312" w:cs="仿宋_GB2312"/>
                <w:kern w:val="0"/>
              </w:rPr>
            </w:pPr>
            <w:r>
              <w:rPr>
                <w:rFonts w:hint="eastAsia" w:ascii="仿宋_GB2312" w:hAnsi="仿宋_GB2312" w:eastAsia="仿宋_GB2312" w:cs="仿宋_GB2312"/>
              </w:rPr>
              <w:t>填报征求志愿</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kern w:val="0"/>
              </w:rPr>
            </w:pPr>
            <w:r>
              <w:rPr>
                <w:rFonts w:hint="eastAsia" w:ascii="仿宋_GB2312" w:hAnsi="仿宋_GB2312" w:eastAsia="仿宋_GB2312" w:cs="仿宋_GB2312"/>
                <w:color w:val="auto"/>
              </w:rPr>
              <w:t>12月9日9:00--10日18:00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exact"/>
          <w:jc w:val="center"/>
        </w:trPr>
        <w:tc>
          <w:tcPr>
            <w:tcW w:w="982"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588" w:type="dxa"/>
            <w:noWrap w:val="0"/>
            <w:vAlign w:val="center"/>
          </w:tcPr>
          <w:p>
            <w:pPr>
              <w:widowControl/>
              <w:spacing w:line="500" w:lineRule="atLeast"/>
              <w:jc w:val="center"/>
              <w:rPr>
                <w:rFonts w:hint="eastAsia" w:ascii="仿宋_GB2312" w:hAnsi="仿宋_GB2312" w:eastAsia="仿宋_GB2312" w:cs="仿宋_GB2312"/>
              </w:rPr>
            </w:pPr>
            <w:r>
              <w:rPr>
                <w:rFonts w:hint="eastAsia" w:ascii="仿宋_GB2312" w:hAnsi="仿宋_GB2312" w:eastAsia="仿宋_GB2312" w:cs="仿宋_GB2312"/>
              </w:rPr>
              <w:t>征求志愿录取</w:t>
            </w:r>
          </w:p>
        </w:tc>
        <w:tc>
          <w:tcPr>
            <w:tcW w:w="4628" w:type="dxa"/>
            <w:noWrap w:val="0"/>
            <w:vAlign w:val="center"/>
          </w:tcPr>
          <w:p>
            <w:pPr>
              <w:widowControl/>
              <w:spacing w:line="500" w:lineRule="atLeast"/>
              <w:jc w:val="center"/>
              <w:rPr>
                <w:rFonts w:hint="eastAsia" w:ascii="仿宋_GB2312" w:hAnsi="仿宋_GB2312" w:eastAsia="仿宋_GB2312" w:cs="仿宋_GB2312"/>
                <w:color w:val="FF0000"/>
              </w:rPr>
            </w:pPr>
            <w:r>
              <w:rPr>
                <w:rStyle w:val="13"/>
                <w:rFonts w:hint="eastAsia" w:ascii="仿宋_GB2312" w:hAnsi="仿宋_GB2312" w:eastAsia="仿宋_GB2312" w:cs="仿宋_GB2312"/>
                <w:b w:val="0"/>
                <w:bCs/>
                <w:color w:val="auto"/>
              </w:rPr>
              <w:t>12月11日--15日</w:t>
            </w:r>
          </w:p>
        </w:tc>
      </w:tr>
    </w:tbl>
    <w:p>
      <w:pPr>
        <w:pStyle w:val="26"/>
        <w:ind w:firstLine="176"/>
        <w:rPr>
          <w:rFonts w:ascii="仿宋_GB2312" w:hAnsi="仿宋" w:cs="宋体"/>
          <w:sz w:val="18"/>
          <w:szCs w:val="18"/>
        </w:rPr>
      </w:pPr>
    </w:p>
    <w:p>
      <w:pPr>
        <w:spacing w:line="600" w:lineRule="exact"/>
        <w:rPr>
          <w:rFonts w:hint="eastAsia" w:ascii="黑体" w:hAnsi="黑体" w:eastAsia="黑体" w:cs="黑体"/>
          <w:bCs/>
        </w:rPr>
      </w:pPr>
      <w:r>
        <w:rPr>
          <w:rFonts w:hint="eastAsia" w:ascii="黑体" w:hAnsi="黑体" w:eastAsia="黑体" w:cs="黑体"/>
          <w:bCs/>
        </w:rPr>
        <w:t>附件1-2</w:t>
      </w:r>
    </w:p>
    <w:p>
      <w:pPr>
        <w:spacing w:line="600" w:lineRule="exact"/>
        <w:jc w:val="center"/>
        <w:rPr>
          <w:rFonts w:ascii="方正小标宋简体" w:hAnsi="仿宋" w:eastAsia="方正小标宋简体"/>
          <w:sz w:val="44"/>
          <w:szCs w:val="44"/>
          <w:shd w:val="clear" w:color="auto" w:fill="FFFFFF"/>
        </w:rPr>
      </w:pPr>
      <w:r>
        <w:rPr>
          <w:rFonts w:ascii="方正小标宋简体" w:hAnsi="仿宋" w:eastAsia="方正小标宋简体"/>
          <w:sz w:val="44"/>
          <w:szCs w:val="44"/>
          <w:shd w:val="clear" w:color="auto" w:fill="FFFFFF"/>
        </w:rPr>
        <w:t>202</w:t>
      </w:r>
      <w:r>
        <w:rPr>
          <w:rFonts w:hint="eastAsia" w:ascii="方正小标宋简体" w:hAnsi="仿宋" w:eastAsia="方正小标宋简体"/>
          <w:sz w:val="44"/>
          <w:szCs w:val="44"/>
          <w:shd w:val="clear" w:color="auto" w:fill="FFFFFF"/>
        </w:rPr>
        <w:t>3年全国成人高校招生统一考试时间表</w:t>
      </w:r>
    </w:p>
    <w:p>
      <w:pPr>
        <w:pStyle w:val="5"/>
        <w:spacing w:line="500" w:lineRule="exact"/>
        <w:jc w:val="center"/>
        <w:rPr>
          <w:rFonts w:ascii="楷体_GB2312" w:hAnsi="楷体_GB2312" w:eastAsia="楷体_GB2312" w:cs="楷体_GB2312"/>
          <w:b/>
          <w:szCs w:val="32"/>
        </w:rPr>
      </w:pPr>
    </w:p>
    <w:p>
      <w:pPr>
        <w:pStyle w:val="5"/>
        <w:spacing w:line="500" w:lineRule="exact"/>
        <w:jc w:val="center"/>
        <w:rPr>
          <w:rFonts w:hint="default" w:ascii="楷体_GB2312" w:hAnsi="楷体_GB2312" w:eastAsia="楷体_GB2312" w:cs="楷体_GB2312"/>
          <w:b/>
          <w:szCs w:val="32"/>
        </w:rPr>
      </w:pPr>
      <w:r>
        <w:rPr>
          <w:rFonts w:ascii="楷体_GB2312" w:hAnsi="楷体_GB2312" w:eastAsia="楷体_GB2312" w:cs="楷体_GB2312"/>
          <w:b/>
          <w:szCs w:val="32"/>
        </w:rPr>
        <w:t>（一）高中起点专科考试时间表</w:t>
      </w:r>
    </w:p>
    <w:tbl>
      <w:tblPr>
        <w:tblStyle w:val="11"/>
        <w:tblpPr w:leftFromText="180" w:rightFromText="180" w:vertAnchor="text" w:horzAnchor="margin" w:tblpXSpec="center"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trPr>
        <w:tc>
          <w:tcPr>
            <w:tcW w:w="2694" w:type="dxa"/>
            <w:tcBorders>
              <w:tl2br w:val="single" w:color="auto" w:sz="4" w:space="0"/>
            </w:tcBorders>
            <w:noWrap w:val="0"/>
            <w:vAlign w:val="top"/>
          </w:tcPr>
          <w:p>
            <w:pPr>
              <w:pStyle w:val="5"/>
              <w:spacing w:line="500" w:lineRule="exact"/>
              <w:ind w:left="-50"/>
              <w:rPr>
                <w:rFonts w:ascii="仿宋_GB2312" w:hAnsi="仿宋_GB2312" w:eastAsia="仿宋_GB2312" w:cs="仿宋_GB2312"/>
                <w:szCs w:val="32"/>
              </w:rPr>
            </w:pPr>
            <w:r>
              <w:rPr>
                <w:rFonts w:ascii="仿宋_GB2312" w:hAnsi="仿宋_GB2312" w:eastAsia="仿宋_GB2312" w:cs="仿宋_GB2312"/>
                <w:szCs w:val="32"/>
              </w:rPr>
              <w:t xml:space="preserve">          日期</w:t>
            </w:r>
          </w:p>
          <w:p>
            <w:pPr>
              <w:pStyle w:val="5"/>
              <w:spacing w:line="500" w:lineRule="exact"/>
              <w:ind w:left="-50"/>
              <w:rPr>
                <w:rFonts w:ascii="仿宋_GB2312" w:hAnsi="仿宋_GB2312" w:eastAsia="仿宋_GB2312" w:cs="仿宋_GB2312"/>
                <w:szCs w:val="32"/>
              </w:rPr>
            </w:pPr>
            <w:r>
              <w:rPr>
                <w:rFonts w:ascii="仿宋_GB2312" w:hAnsi="仿宋_GB2312" w:eastAsia="仿宋_GB2312" w:cs="仿宋_GB2312"/>
                <w:szCs w:val="32"/>
              </w:rPr>
              <w:t xml:space="preserve"> 时间</w:t>
            </w:r>
          </w:p>
        </w:tc>
        <w:tc>
          <w:tcPr>
            <w:tcW w:w="2835" w:type="dxa"/>
            <w:noWrap w:val="0"/>
            <w:vAlign w:val="center"/>
          </w:tcPr>
          <w:p>
            <w:pPr>
              <w:pStyle w:val="5"/>
              <w:spacing w:line="500" w:lineRule="exact"/>
              <w:jc w:val="center"/>
              <w:rPr>
                <w:rFonts w:ascii="仿宋_GB2312" w:hAnsi="仿宋_GB2312" w:eastAsia="仿宋_GB2312" w:cs="仿宋_GB2312"/>
                <w:szCs w:val="32"/>
              </w:rPr>
            </w:pPr>
            <w:r>
              <w:rPr>
                <w:rFonts w:ascii="仿宋_GB2312" w:hAnsi="仿宋_GB2312" w:eastAsia="仿宋_GB2312" w:cs="仿宋_GB2312"/>
                <w:szCs w:val="32"/>
              </w:rPr>
              <w:t>10月21日</w:t>
            </w:r>
          </w:p>
        </w:tc>
        <w:tc>
          <w:tcPr>
            <w:tcW w:w="3255" w:type="dxa"/>
            <w:noWrap w:val="0"/>
            <w:vAlign w:val="center"/>
          </w:tcPr>
          <w:p>
            <w:pPr>
              <w:pStyle w:val="5"/>
              <w:spacing w:line="500" w:lineRule="exact"/>
              <w:jc w:val="center"/>
              <w:rPr>
                <w:rFonts w:ascii="仿宋_GB2312" w:hAnsi="仿宋_GB2312" w:eastAsia="仿宋_GB2312" w:cs="仿宋_GB2312"/>
                <w:szCs w:val="32"/>
              </w:rPr>
            </w:pPr>
            <w:r>
              <w:rPr>
                <w:rFonts w:ascii="仿宋_GB2312" w:hAnsi="仿宋_GB2312" w:eastAsia="仿宋_GB2312" w:cs="仿宋_GB2312"/>
                <w:szCs w:val="32"/>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2694" w:type="dxa"/>
            <w:tcBorders>
              <w:bottom w:val="single" w:color="auto" w:sz="4" w:space="0"/>
            </w:tcBorders>
            <w:noWrap w:val="0"/>
            <w:vAlign w:val="center"/>
          </w:tcPr>
          <w:p>
            <w:pPr>
              <w:pStyle w:val="5"/>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9:00—11:00</w:t>
            </w:r>
          </w:p>
        </w:tc>
        <w:tc>
          <w:tcPr>
            <w:tcW w:w="2835" w:type="dxa"/>
            <w:tcBorders>
              <w:bottom w:val="single" w:color="auto" w:sz="4" w:space="0"/>
            </w:tcBorders>
            <w:noWrap w:val="0"/>
            <w:vAlign w:val="center"/>
          </w:tcPr>
          <w:p>
            <w:pPr>
              <w:pStyle w:val="5"/>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语文</w:t>
            </w:r>
          </w:p>
        </w:tc>
        <w:tc>
          <w:tcPr>
            <w:tcW w:w="3255" w:type="dxa"/>
            <w:tcBorders>
              <w:bottom w:val="single" w:color="auto" w:sz="4" w:space="0"/>
            </w:tcBorders>
            <w:noWrap w:val="0"/>
            <w:vAlign w:val="center"/>
          </w:tcPr>
          <w:p>
            <w:pPr>
              <w:pStyle w:val="5"/>
              <w:spacing w:line="500" w:lineRule="exact"/>
              <w:ind w:left="37"/>
              <w:jc w:val="center"/>
              <w:rPr>
                <w:rFonts w:ascii="仿宋_GB2312" w:hAnsi="仿宋_GB2312" w:eastAsia="仿宋_GB2312" w:cs="仿宋_GB2312"/>
                <w:szCs w:val="32"/>
              </w:rPr>
            </w:pPr>
            <w:r>
              <w:rPr>
                <w:rFonts w:ascii="仿宋_GB2312" w:hAnsi="仿宋_GB2312" w:eastAsia="仿宋_GB2312" w:cs="仿宋_GB2312"/>
                <w:szCs w:val="32"/>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2694" w:type="dxa"/>
            <w:tcBorders>
              <w:bottom w:val="single" w:color="auto" w:sz="4" w:space="0"/>
            </w:tcBorders>
            <w:noWrap w:val="0"/>
            <w:vAlign w:val="center"/>
          </w:tcPr>
          <w:p>
            <w:pPr>
              <w:pStyle w:val="5"/>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14:30—16:30</w:t>
            </w:r>
          </w:p>
        </w:tc>
        <w:tc>
          <w:tcPr>
            <w:tcW w:w="2835" w:type="dxa"/>
            <w:tcBorders>
              <w:bottom w:val="single" w:color="auto" w:sz="4" w:space="0"/>
            </w:tcBorders>
            <w:noWrap w:val="0"/>
            <w:vAlign w:val="center"/>
          </w:tcPr>
          <w:p>
            <w:pPr>
              <w:pStyle w:val="5"/>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数学（文科）</w:t>
            </w:r>
          </w:p>
          <w:p>
            <w:pPr>
              <w:pStyle w:val="5"/>
              <w:spacing w:line="500" w:lineRule="exact"/>
              <w:ind w:left="-50"/>
              <w:jc w:val="center"/>
              <w:rPr>
                <w:rFonts w:ascii="仿宋_GB2312" w:hAnsi="仿宋_GB2312" w:eastAsia="仿宋_GB2312" w:cs="仿宋_GB2312"/>
                <w:szCs w:val="32"/>
              </w:rPr>
            </w:pPr>
            <w:r>
              <w:rPr>
                <w:rFonts w:ascii="仿宋_GB2312" w:hAnsi="仿宋_GB2312" w:eastAsia="仿宋_GB2312" w:cs="仿宋_GB2312"/>
                <w:szCs w:val="32"/>
              </w:rPr>
              <w:t>数学（理科）</w:t>
            </w:r>
          </w:p>
        </w:tc>
        <w:tc>
          <w:tcPr>
            <w:tcW w:w="3255" w:type="dxa"/>
            <w:tcBorders>
              <w:bottom w:val="single" w:color="auto" w:sz="4" w:space="0"/>
            </w:tcBorders>
            <w:noWrap w:val="0"/>
            <w:vAlign w:val="center"/>
          </w:tcPr>
          <w:p>
            <w:pPr>
              <w:pStyle w:val="5"/>
              <w:spacing w:line="500" w:lineRule="exact"/>
              <w:ind w:left="40"/>
              <w:jc w:val="center"/>
              <w:rPr>
                <w:rFonts w:ascii="仿宋_GB2312" w:hAnsi="仿宋_GB2312" w:eastAsia="仿宋_GB2312" w:cs="仿宋_GB2312"/>
                <w:szCs w:val="32"/>
              </w:rPr>
            </w:pPr>
          </w:p>
        </w:tc>
      </w:tr>
    </w:tbl>
    <w:p>
      <w:pPr>
        <w:pStyle w:val="5"/>
        <w:spacing w:before="293" w:beforeLines="50" w:line="500" w:lineRule="exact"/>
        <w:jc w:val="center"/>
        <w:rPr>
          <w:rFonts w:hint="default" w:ascii="楷体_GB2312" w:hAnsi="楷体_GB2312" w:eastAsia="楷体_GB2312" w:cs="楷体_GB2312"/>
          <w:b/>
          <w:szCs w:val="32"/>
        </w:rPr>
      </w:pPr>
      <w:r>
        <w:rPr>
          <w:rFonts w:hint="default" w:ascii="楷体_GB2312" w:hAnsi="楷体_GB2312" w:eastAsia="楷体_GB2312" w:cs="楷体_GB2312"/>
          <w:b/>
          <w:szCs w:val="32"/>
        </w:rPr>
        <w:t>（二）专科起点升本科考试时间表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08"/>
        <w:gridCol w:w="2415"/>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694" w:type="dxa"/>
            <w:tcBorders>
              <w:tl2br w:val="single" w:color="auto" w:sz="4" w:space="0"/>
            </w:tcBorders>
            <w:noWrap w:val="0"/>
            <w:vAlign w:val="top"/>
          </w:tcPr>
          <w:p>
            <w:pPr>
              <w:pStyle w:val="5"/>
              <w:spacing w:line="440" w:lineRule="exact"/>
              <w:ind w:left="-315"/>
              <w:rPr>
                <w:rFonts w:ascii="仿宋_GB2312" w:hAnsi="仿宋_GB2312" w:eastAsia="仿宋_GB2312" w:cs="仿宋_GB2312"/>
                <w:szCs w:val="32"/>
              </w:rPr>
            </w:pPr>
            <w:r>
              <w:rPr>
                <w:rFonts w:ascii="仿宋_GB2312" w:hAnsi="仿宋_GB2312" w:eastAsia="仿宋_GB2312" w:cs="仿宋_GB2312"/>
                <w:szCs w:val="32"/>
              </w:rPr>
              <w:t xml:space="preserve">          日期</w:t>
            </w:r>
          </w:p>
          <w:p>
            <w:pPr>
              <w:pStyle w:val="5"/>
              <w:spacing w:line="440" w:lineRule="exact"/>
              <w:ind w:left="10"/>
              <w:rPr>
                <w:rFonts w:ascii="仿宋_GB2312" w:hAnsi="仿宋_GB2312" w:eastAsia="仿宋_GB2312" w:cs="仿宋_GB2312"/>
                <w:szCs w:val="32"/>
              </w:rPr>
            </w:pPr>
            <w:r>
              <w:rPr>
                <w:rFonts w:ascii="仿宋_GB2312" w:hAnsi="仿宋_GB2312" w:eastAsia="仿宋_GB2312" w:cs="仿宋_GB2312"/>
                <w:szCs w:val="32"/>
              </w:rPr>
              <w:t>时间</w:t>
            </w:r>
          </w:p>
        </w:tc>
        <w:tc>
          <w:tcPr>
            <w:tcW w:w="1908" w:type="dxa"/>
            <w:noWrap w:val="0"/>
            <w:vAlign w:val="center"/>
          </w:tcPr>
          <w:p>
            <w:pPr>
              <w:pStyle w:val="5"/>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10月21日</w:t>
            </w:r>
          </w:p>
        </w:tc>
        <w:tc>
          <w:tcPr>
            <w:tcW w:w="4045" w:type="dxa"/>
            <w:gridSpan w:val="2"/>
            <w:noWrap w:val="0"/>
            <w:vAlign w:val="center"/>
          </w:tcPr>
          <w:p>
            <w:pPr>
              <w:pStyle w:val="5"/>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10月22日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jc w:val="center"/>
        </w:trPr>
        <w:tc>
          <w:tcPr>
            <w:tcW w:w="2694" w:type="dxa"/>
            <w:tcBorders>
              <w:bottom w:val="single" w:color="auto" w:sz="4" w:space="0"/>
            </w:tcBorders>
            <w:noWrap w:val="0"/>
            <w:vAlign w:val="center"/>
          </w:tcPr>
          <w:p>
            <w:pPr>
              <w:pStyle w:val="5"/>
              <w:spacing w:line="440" w:lineRule="exact"/>
              <w:ind w:left="10"/>
              <w:jc w:val="center"/>
              <w:rPr>
                <w:rFonts w:ascii="仿宋_GB2312" w:hAnsi="仿宋_GB2312" w:eastAsia="仿宋_GB2312" w:cs="仿宋_GB2312"/>
                <w:szCs w:val="32"/>
              </w:rPr>
            </w:pPr>
            <w:r>
              <w:rPr>
                <w:rFonts w:ascii="仿宋_GB2312" w:hAnsi="仿宋_GB2312" w:eastAsia="仿宋_GB2312" w:cs="仿宋_GB2312"/>
                <w:szCs w:val="32"/>
              </w:rPr>
              <w:t>9:00—11:30</w:t>
            </w:r>
          </w:p>
        </w:tc>
        <w:tc>
          <w:tcPr>
            <w:tcW w:w="1908" w:type="dxa"/>
            <w:tcBorders>
              <w:bottom w:val="single" w:color="auto" w:sz="4" w:space="0"/>
            </w:tcBorders>
            <w:noWrap w:val="0"/>
            <w:vAlign w:val="center"/>
          </w:tcPr>
          <w:p>
            <w:pPr>
              <w:pStyle w:val="5"/>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政治</w:t>
            </w:r>
          </w:p>
        </w:tc>
        <w:tc>
          <w:tcPr>
            <w:tcW w:w="2415" w:type="dxa"/>
            <w:tcBorders>
              <w:bottom w:val="single" w:color="auto" w:sz="4" w:space="0"/>
            </w:tcBorders>
            <w:noWrap w:val="0"/>
            <w:vAlign w:val="center"/>
          </w:tcPr>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大学语文</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艺术概论</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高等数学(一)</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高等数学(二)</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民法</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教育理论</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生态学基础</w:t>
            </w:r>
          </w:p>
          <w:p>
            <w:pPr>
              <w:pStyle w:val="5"/>
              <w:spacing w:line="440" w:lineRule="exact"/>
              <w:jc w:val="left"/>
              <w:rPr>
                <w:rFonts w:ascii="仿宋_GB2312" w:hAnsi="仿宋_GB2312" w:eastAsia="仿宋_GB2312" w:cs="仿宋_GB2312"/>
                <w:szCs w:val="32"/>
              </w:rPr>
            </w:pPr>
            <w:r>
              <w:rPr>
                <w:rFonts w:ascii="仿宋_GB2312" w:hAnsi="仿宋_GB2312" w:eastAsia="仿宋_GB2312" w:cs="仿宋_GB2312"/>
                <w:szCs w:val="32"/>
              </w:rPr>
              <w:t>医学综合</w:t>
            </w:r>
          </w:p>
        </w:tc>
        <w:tc>
          <w:tcPr>
            <w:tcW w:w="1630" w:type="dxa"/>
            <w:tcBorders>
              <w:bottom w:val="single" w:color="auto" w:sz="4" w:space="0"/>
            </w:tcBorders>
            <w:noWrap w:val="0"/>
            <w:vAlign w:val="center"/>
          </w:tcPr>
          <w:p>
            <w:pPr>
              <w:pStyle w:val="5"/>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94" w:type="dxa"/>
            <w:tcBorders>
              <w:bottom w:val="single" w:color="auto" w:sz="4" w:space="0"/>
            </w:tcBorders>
            <w:noWrap w:val="0"/>
            <w:vAlign w:val="center"/>
          </w:tcPr>
          <w:p>
            <w:pPr>
              <w:pStyle w:val="5"/>
              <w:spacing w:line="440" w:lineRule="exact"/>
              <w:ind w:left="10"/>
              <w:jc w:val="center"/>
              <w:rPr>
                <w:rFonts w:ascii="仿宋_GB2312" w:hAnsi="仿宋_GB2312" w:eastAsia="仿宋_GB2312" w:cs="仿宋_GB2312"/>
                <w:szCs w:val="32"/>
              </w:rPr>
            </w:pPr>
            <w:r>
              <w:rPr>
                <w:rFonts w:ascii="仿宋_GB2312" w:hAnsi="仿宋_GB2312" w:eastAsia="仿宋_GB2312" w:cs="仿宋_GB2312"/>
                <w:szCs w:val="32"/>
              </w:rPr>
              <w:t>14:30—17:00</w:t>
            </w:r>
          </w:p>
        </w:tc>
        <w:tc>
          <w:tcPr>
            <w:tcW w:w="1908" w:type="dxa"/>
            <w:tcBorders>
              <w:bottom w:val="single" w:color="auto" w:sz="4" w:space="0"/>
            </w:tcBorders>
            <w:noWrap w:val="0"/>
            <w:vAlign w:val="center"/>
          </w:tcPr>
          <w:p>
            <w:pPr>
              <w:pStyle w:val="5"/>
              <w:spacing w:line="440" w:lineRule="exact"/>
              <w:jc w:val="center"/>
              <w:rPr>
                <w:rFonts w:ascii="仿宋_GB2312" w:hAnsi="仿宋_GB2312" w:eastAsia="仿宋_GB2312" w:cs="仿宋_GB2312"/>
                <w:szCs w:val="32"/>
              </w:rPr>
            </w:pPr>
            <w:r>
              <w:rPr>
                <w:rFonts w:ascii="仿宋_GB2312" w:hAnsi="仿宋_GB2312" w:eastAsia="仿宋_GB2312" w:cs="仿宋_GB2312"/>
                <w:szCs w:val="32"/>
              </w:rPr>
              <w:t>英语</w:t>
            </w:r>
          </w:p>
        </w:tc>
        <w:tc>
          <w:tcPr>
            <w:tcW w:w="4045" w:type="dxa"/>
            <w:gridSpan w:val="2"/>
            <w:tcBorders>
              <w:bottom w:val="single" w:color="auto" w:sz="4" w:space="0"/>
            </w:tcBorders>
            <w:noWrap w:val="0"/>
            <w:vAlign w:val="center"/>
          </w:tcPr>
          <w:p>
            <w:pPr>
              <w:pStyle w:val="5"/>
              <w:spacing w:line="440" w:lineRule="exact"/>
              <w:ind w:left="187"/>
              <w:rPr>
                <w:rFonts w:ascii="仿宋_GB2312" w:hAnsi="仿宋_GB2312" w:eastAsia="仿宋_GB2312" w:cs="仿宋_GB2312"/>
                <w:szCs w:val="32"/>
              </w:rPr>
            </w:pPr>
          </w:p>
        </w:tc>
      </w:tr>
    </w:tbl>
    <w:p>
      <w:pPr>
        <w:spacing w:line="480" w:lineRule="exact"/>
        <w:ind w:left="594" w:hanging="592" w:hangingChars="200"/>
        <w:rPr>
          <w:rStyle w:val="13"/>
          <w:rFonts w:hint="eastAsia" w:ascii="仿宋_GB2312" w:hAnsi="仿宋_GB2312" w:eastAsia="仿宋_GB2312" w:cs="仿宋_GB2312"/>
          <w:b w:val="0"/>
          <w:bCs/>
          <w:color w:val="auto"/>
        </w:rPr>
      </w:pPr>
      <w:r>
        <w:rPr>
          <w:rFonts w:hint="eastAsia" w:ascii="仿宋_GB2312" w:hAnsi="仿宋_GB2312" w:eastAsia="仿宋_GB2312" w:cs="仿宋_GB2312"/>
          <w:b/>
          <w:sz w:val="30"/>
          <w:szCs w:val="30"/>
          <w:shd w:val="clear" w:color="auto" w:fill="FFFFFF"/>
        </w:rPr>
        <w:t>注：</w:t>
      </w:r>
      <w:r>
        <w:rPr>
          <w:rFonts w:hint="eastAsia" w:ascii="仿宋_GB2312" w:hAnsi="仿宋_GB2312" w:eastAsia="仿宋_GB2312" w:cs="仿宋_GB2312"/>
          <w:bCs/>
          <w:color w:val="auto"/>
          <w:shd w:val="clear" w:color="auto" w:fill="FFFFFF"/>
        </w:rPr>
        <w:t>1.2023年成人高考</w:t>
      </w:r>
      <w:r>
        <w:rPr>
          <w:rStyle w:val="13"/>
          <w:rFonts w:hint="eastAsia" w:ascii="仿宋_GB2312" w:hAnsi="仿宋_GB2312" w:eastAsia="仿宋_GB2312" w:cs="仿宋_GB2312"/>
          <w:b w:val="0"/>
          <w:bCs/>
          <w:color w:val="auto"/>
        </w:rPr>
        <w:t>依据</w:t>
      </w:r>
      <w:r>
        <w:rPr>
          <w:rFonts w:hint="eastAsia" w:ascii="仿宋_GB2312" w:hAnsi="仿宋_GB2312" w:eastAsia="仿宋_GB2312" w:cs="仿宋_GB2312"/>
          <w:color w:val="auto"/>
          <w:kern w:val="0"/>
        </w:rPr>
        <w:t>教育部教育考试院（原教育部考试中心） 制定的</w:t>
      </w:r>
      <w:r>
        <w:rPr>
          <w:rStyle w:val="13"/>
          <w:rFonts w:hint="eastAsia" w:ascii="仿宋_GB2312" w:hAnsi="仿宋_GB2312" w:eastAsia="仿宋_GB2312" w:cs="仿宋_GB2312"/>
          <w:b w:val="0"/>
          <w:bCs/>
          <w:color w:val="auto"/>
        </w:rPr>
        <w:t>《全国各类成人高等学校招生复习考试大纲</w:t>
      </w:r>
      <w:r>
        <w:rPr>
          <w:rFonts w:hint="eastAsia" w:ascii="仿宋_GB2312" w:hAnsi="仿宋_GB2312" w:eastAsia="仿宋_GB2312" w:cs="仿宋_GB2312"/>
          <w:color w:val="auto"/>
          <w:kern w:val="0"/>
        </w:rPr>
        <w:t>（2020 年版）</w:t>
      </w:r>
      <w:r>
        <w:rPr>
          <w:rStyle w:val="13"/>
          <w:rFonts w:hint="eastAsia" w:ascii="仿宋_GB2312" w:hAnsi="仿宋_GB2312" w:eastAsia="仿宋_GB2312" w:cs="仿宋_GB2312"/>
          <w:b w:val="0"/>
          <w:bCs/>
          <w:color w:val="auto"/>
        </w:rPr>
        <w:t>》命题。</w:t>
      </w:r>
    </w:p>
    <w:p>
      <w:pPr>
        <w:spacing w:line="480" w:lineRule="exact"/>
        <w:ind w:left="632" w:hanging="632" w:hangingChars="200"/>
        <w:rPr>
          <w:rFonts w:hint="eastAsia" w:ascii="仿宋_GB2312" w:hAnsi="仿宋_GB2312" w:eastAsia="仿宋_GB2312" w:cs="仿宋_GB2312"/>
          <w:sz w:val="30"/>
          <w:szCs w:val="30"/>
          <w:shd w:val="clear" w:color="auto" w:fill="FFFFFF"/>
        </w:rPr>
      </w:pPr>
      <w:r>
        <w:rPr>
          <w:rStyle w:val="13"/>
          <w:rFonts w:hint="eastAsia" w:ascii="仿宋_GB2312" w:hAnsi="仿宋_GB2312" w:eastAsia="仿宋_GB2312" w:cs="仿宋_GB2312"/>
          <w:b w:val="0"/>
          <w:bCs/>
          <w:color w:val="auto"/>
        </w:rPr>
        <w:t xml:space="preserve">  2.</w:t>
      </w:r>
      <w:r>
        <w:rPr>
          <w:rFonts w:hint="eastAsia" w:ascii="仿宋_GB2312" w:hAnsi="仿宋_GB2312" w:eastAsia="仿宋_GB2312" w:cs="仿宋_GB2312"/>
          <w:color w:val="auto"/>
        </w:rPr>
        <w:t>专科起点升本科招生专业所对应的考试科目按照附件1-3</w:t>
      </w:r>
      <w:r>
        <w:rPr>
          <w:rStyle w:val="13"/>
          <w:rFonts w:hint="eastAsia" w:ascii="仿宋_GB2312" w:hAnsi="仿宋_GB2312" w:eastAsia="仿宋_GB2312" w:cs="仿宋_GB2312"/>
          <w:b w:val="0"/>
          <w:bCs/>
          <w:color w:val="auto"/>
        </w:rPr>
        <w:t>。</w:t>
      </w:r>
    </w:p>
    <w:p>
      <w:pPr>
        <w:rPr>
          <w:rFonts w:ascii="黑体" w:hAnsi="黑体" w:eastAsia="黑体"/>
        </w:rPr>
      </w:pPr>
      <w:r>
        <w:rPr>
          <w:rFonts w:hint="eastAsia" w:ascii="黑体" w:hAnsi="黑体" w:eastAsia="黑体"/>
        </w:rPr>
        <w:t>附件1-3</w:t>
      </w:r>
    </w:p>
    <w:p>
      <w:pPr>
        <w:jc w:val="center"/>
        <w:rPr>
          <w:rFonts w:ascii="方正小标宋简体" w:eastAsia="方正小标宋简体"/>
          <w:sz w:val="36"/>
          <w:szCs w:val="36"/>
        </w:rPr>
      </w:pPr>
      <w:r>
        <w:rPr>
          <w:rFonts w:hint="eastAsia" w:ascii="方正小标宋简体" w:eastAsia="方正小标宋简体"/>
          <w:sz w:val="36"/>
          <w:szCs w:val="36"/>
        </w:rPr>
        <w:t>专科起点升本科招生专业与统一考试科目对照表</w:t>
      </w:r>
    </w:p>
    <w:p>
      <w:pPr>
        <w:jc w:val="left"/>
        <w:rPr>
          <w:rFonts w:ascii="黑体" w:hAnsi="黑体" w:eastAsia="黑体"/>
          <w:b/>
          <w:sz w:val="28"/>
          <w:szCs w:val="28"/>
        </w:rPr>
      </w:pPr>
      <w:r>
        <w:rPr>
          <w:rFonts w:hint="eastAsia" w:ascii="黑体" w:hAnsi="黑体" w:eastAsia="黑体"/>
          <w:bCs/>
          <w:sz w:val="28"/>
          <w:szCs w:val="28"/>
        </w:rPr>
        <w:t>一、哲学、文学、历史学以及中医学类、中药学类</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36"/>
        <w:gridCol w:w="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36" w:type="dxa"/>
            <w:tcBorders>
              <w:top w:val="single" w:color="auto" w:sz="4" w:space="0"/>
              <w:bottom w:val="single" w:color="auto" w:sz="4" w:space="0"/>
              <w:right w:val="single" w:color="auto" w:sz="4" w:space="0"/>
            </w:tcBorders>
            <w:noWrap w:val="0"/>
            <w:vAlign w:val="center"/>
          </w:tcPr>
          <w:p>
            <w:pPr>
              <w:tabs>
                <w:tab w:val="left" w:pos="2967"/>
              </w:tabs>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招    生    专    业</w:t>
            </w:r>
          </w:p>
        </w:tc>
        <w:tc>
          <w:tcPr>
            <w:tcW w:w="864" w:type="dxa"/>
            <w:tcBorders>
              <w:top w:val="single" w:color="auto" w:sz="4" w:space="0"/>
              <w:left w:val="single" w:color="auto" w:sz="4" w:space="0"/>
              <w:bottom w:val="single" w:color="auto" w:sz="4" w:space="0"/>
            </w:tcBorders>
            <w:noWrap w:val="0"/>
            <w:vAlign w:val="top"/>
          </w:tcPr>
          <w:p>
            <w:pPr>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统考</w:t>
            </w:r>
          </w:p>
          <w:p>
            <w:pPr>
              <w:spacing w:line="360" w:lineRule="exact"/>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536"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642"/>
              <w:gridCol w:w="96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哲学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逻辑学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宗教学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010104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030401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民族学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汉语言</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汉语国际教育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中国少数民族语言文学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古典文献学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应用语言学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秘书学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050108</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中国语言与文化</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050109</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手语翻译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德语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西班牙语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阿拉伯语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波斯语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050209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朝鲜语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菲律宾语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梵语巴利语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印度尼西亚语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柬埔寨语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老挝语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缅甸语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马来语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050219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僧伽罗语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乌尔都语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希伯来语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越南语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豪萨语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斯瓦希里语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阿尔巴尼亚语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保加利亚语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波兰语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050229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捷克语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斯洛伐克语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罗马尼亚语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葡萄牙语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瑞典语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塞尔维亚语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土耳其语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希腊语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匈牙利语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意大利语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050239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泰米尔语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普什图语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世界语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孟加拉语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尼泊尔语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克罗地亚语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荷兰语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芬兰语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乌克兰语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挪威语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050249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丹麦语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冰岛语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爱尔兰语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拉脱维亚语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立陶宛语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斯洛文尼亚语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爱沙尼亚语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马耳他语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哈萨克语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乌兹别克语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050259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祖鲁语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拉丁语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翻译</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阿姆哈拉语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吉尔吉斯语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索马里语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土库曼语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加泰罗尼亚语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约鲁巴语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050269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亚美尼亚语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马达加斯加语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格鲁吉亚语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阿塞拜疆语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阿非利卡语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马其顿语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塔吉克语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茨瓦纳语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恩德贝莱语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050278</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科摩罗语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050279</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克里奥尔语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050280</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绍纳语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提格雷尼亚语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白俄罗斯语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毛利语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汤加语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萨摩亚语</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050286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库尔德语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广告学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传播学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编辑出版学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历史学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060102</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世界史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060103</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考古学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060104</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文物与博物馆学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060105</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文物保护技术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060106</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外国语言与外国历史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060107</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针灸推拿学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维医学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壮医学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100507</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100801</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中药制药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100806</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中草药栽培与鉴定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350101</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维吾尔语言文学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350102</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哈萨克语言文学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350103</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蒙古语言文学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350104</w:t>
                  </w:r>
                </w:p>
              </w:tc>
              <w:tc>
                <w:tcPr>
                  <w:tcW w:w="233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朝鲜语言文学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296" w:type="dxa"/>
                <w:cantSplit/>
                <w:trHeight w:val="272" w:hRule="exac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350105</w:t>
                  </w:r>
                </w:p>
              </w:tc>
              <w:tc>
                <w:tcPr>
                  <w:tcW w:w="264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藏语言文学</w:t>
                  </w:r>
                </w:p>
              </w:tc>
            </w:tr>
          </w:tbl>
          <w:p>
            <w:pPr>
              <w:tabs>
                <w:tab w:val="left" w:pos="2952"/>
              </w:tabs>
              <w:spacing w:line="360" w:lineRule="exact"/>
              <w:jc w:val="center"/>
              <w:rPr>
                <w:rFonts w:hint="eastAsia" w:ascii="仿宋_GB2312" w:hAnsi="仿宋_GB2312" w:eastAsia="仿宋_GB2312" w:cs="仿宋_GB2312"/>
                <w:color w:val="auto"/>
                <w:sz w:val="24"/>
              </w:rPr>
            </w:pPr>
          </w:p>
        </w:tc>
        <w:tc>
          <w:tcPr>
            <w:tcW w:w="864" w:type="dxa"/>
            <w:tcBorders>
              <w:top w:val="single" w:color="auto" w:sz="4" w:space="0"/>
              <w:left w:val="single" w:color="auto" w:sz="4" w:space="0"/>
              <w:bottom w:val="single" w:color="auto" w:sz="4" w:space="0"/>
            </w:tcBorders>
            <w:noWrap w:val="0"/>
            <w:vAlign w:val="center"/>
          </w:tcPr>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外语</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大学语文</w:t>
            </w: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pStyle w:val="26"/>
              <w:ind w:firstLine="196"/>
              <w:rPr>
                <w:rFonts w:hint="eastAsia" w:ascii="仿宋_GB2312" w:hAnsi="仿宋_GB2312" w:eastAsia="仿宋_GB2312" w:cs="仿宋_GB2312"/>
                <w:color w:val="auto"/>
              </w:rPr>
            </w:pPr>
          </w:p>
          <w:p>
            <w:pPr>
              <w:pStyle w:val="26"/>
              <w:ind w:firstLine="196"/>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政治</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外语</w:t>
            </w:r>
          </w:p>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大学</w:t>
            </w:r>
          </w:p>
          <w:p>
            <w:pPr>
              <w:pStyle w:val="26"/>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语文</w:t>
            </w:r>
          </w:p>
        </w:tc>
      </w:tr>
    </w:tbl>
    <w:p>
      <w:pPr>
        <w:spacing w:line="360" w:lineRule="exact"/>
        <w:rPr>
          <w:rFonts w:hint="eastAsia" w:ascii="黑体" w:hAnsi="黑体" w:eastAsia="黑体"/>
          <w:bCs/>
          <w:sz w:val="28"/>
          <w:szCs w:val="28"/>
        </w:rPr>
      </w:pPr>
    </w:p>
    <w:p>
      <w:pPr>
        <w:spacing w:line="360" w:lineRule="exact"/>
        <w:rPr>
          <w:rFonts w:hint="eastAsia" w:ascii="黑体" w:hAnsi="黑体" w:eastAsia="黑体"/>
          <w:bCs/>
          <w:sz w:val="28"/>
          <w:szCs w:val="28"/>
        </w:rPr>
      </w:pPr>
    </w:p>
    <w:p>
      <w:pPr>
        <w:spacing w:line="360" w:lineRule="exact"/>
        <w:rPr>
          <w:rFonts w:hint="eastAsia" w:ascii="黑体" w:hAnsi="黑体" w:eastAsia="黑体"/>
          <w:bCs/>
          <w:sz w:val="28"/>
          <w:szCs w:val="28"/>
        </w:rPr>
      </w:pPr>
    </w:p>
    <w:p>
      <w:pPr>
        <w:spacing w:line="360" w:lineRule="exact"/>
        <w:rPr>
          <w:rFonts w:ascii="黑体" w:hAnsi="黑体" w:eastAsia="黑体"/>
          <w:sz w:val="28"/>
          <w:szCs w:val="28"/>
        </w:rPr>
      </w:pPr>
      <w:r>
        <w:rPr>
          <w:rFonts w:hint="eastAsia" w:ascii="黑体" w:hAnsi="黑体" w:eastAsia="黑体"/>
          <w:bCs/>
          <w:sz w:val="28"/>
          <w:szCs w:val="28"/>
        </w:rPr>
        <w:t>二、艺术类</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55" w:hRule="atLeast"/>
        </w:trPr>
        <w:tc>
          <w:tcPr>
            <w:tcW w:w="7506"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网络与新媒体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050307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艺术史论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130102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音乐表演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音乐学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作曲与作曲技术理论</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130204</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130206</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舞蹈编导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表演</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130302</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130304</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广播电视编导</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130306</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戏剧影视美术设计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130308</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录音艺术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播音与主持艺术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130310</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130311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影视摄影与制作</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美术学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绘画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130403</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摄影</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130405</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书法学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实验艺术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跨媒体艺术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130409</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文物保护与修复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漫画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视觉传达设计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130503</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产品设计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130505</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服装与服饰设计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130507</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数字媒体艺术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130509</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陶瓷艺术设计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130511</w:t>
                  </w:r>
                </w:p>
              </w:tc>
              <w:tc>
                <w:tcPr>
                  <w:tcW w:w="27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新媒体艺术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711" w:type="dxa"/>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130512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包装设计</w:t>
                  </w:r>
                </w:p>
              </w:tc>
            </w:tr>
          </w:tbl>
          <w:p>
            <w:pPr>
              <w:pStyle w:val="5"/>
              <w:spacing w:line="360" w:lineRule="exact"/>
              <w:ind w:left="-5" w:leftChars="-2" w:hanging="1"/>
              <w:jc w:val="left"/>
              <w:rPr>
                <w:rFonts w:ascii="仿宋_GB2312" w:hAnsi="仿宋_GB2312" w:eastAsia="仿宋_GB2312" w:cs="仿宋_GB2312"/>
                <w:bCs/>
                <w:color w:val="auto"/>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widowControl/>
              <w:spacing w:line="360" w:lineRule="exact"/>
              <w:jc w:val="left"/>
              <w:rPr>
                <w:rFonts w:hint="eastAsia" w:ascii="仿宋_GB2312" w:hAnsi="仿宋_GB2312" w:eastAsia="仿宋_GB2312" w:cs="仿宋_GB2312"/>
                <w:color w:val="auto"/>
                <w:sz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艺术概论</w:t>
            </w:r>
          </w:p>
        </w:tc>
      </w:tr>
    </w:tbl>
    <w:p>
      <w:pPr>
        <w:spacing w:line="360" w:lineRule="exact"/>
        <w:rPr>
          <w:sz w:val="24"/>
        </w:rPr>
      </w:pPr>
    </w:p>
    <w:p>
      <w:pPr>
        <w:spacing w:line="360" w:lineRule="exact"/>
        <w:rPr>
          <w:rFonts w:hint="eastAsia" w:ascii="黑体" w:hAnsi="黑体" w:eastAsia="黑体"/>
          <w:sz w:val="28"/>
          <w:szCs w:val="28"/>
        </w:rPr>
      </w:pPr>
    </w:p>
    <w:p>
      <w:pPr>
        <w:spacing w:line="360" w:lineRule="exact"/>
        <w:rPr>
          <w:rFonts w:ascii="黑体" w:hAnsi="黑体" w:eastAsia="黑体"/>
          <w:sz w:val="28"/>
          <w:szCs w:val="28"/>
        </w:rPr>
      </w:pPr>
      <w:r>
        <w:rPr>
          <w:rFonts w:hint="eastAsia" w:ascii="黑体" w:hAnsi="黑体" w:eastAsia="黑体"/>
          <w:sz w:val="28"/>
          <w:szCs w:val="28"/>
        </w:rPr>
        <w:t>三、工学、理学</w:t>
      </w:r>
      <w:r>
        <w:rPr>
          <w:rFonts w:ascii="黑体" w:hAnsi="黑体" w:eastAsia="黑体"/>
          <w:sz w:val="28"/>
          <w:szCs w:val="28"/>
        </w:rPr>
        <w:t>(</w:t>
      </w:r>
      <w:r>
        <w:rPr>
          <w:rFonts w:hint="eastAsia" w:ascii="黑体" w:hAnsi="黑体" w:eastAsia="黑体"/>
          <w:sz w:val="28"/>
          <w:szCs w:val="28"/>
        </w:rPr>
        <w:t>生物科学类、地理科学类、心理学类等除外</w:t>
      </w:r>
      <w:r>
        <w:rPr>
          <w:rFonts w:ascii="黑体" w:hAnsi="黑体" w:eastAsia="黑体"/>
          <w:sz w:val="28"/>
          <w:szCs w:val="28"/>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6"/>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756" w:type="dxa"/>
            <w:noWrap w:val="0"/>
            <w:vAlign w:val="center"/>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713" w:type="dxa"/>
            <w:noWrap w:val="0"/>
            <w:vAlign w:val="top"/>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w:t>
            </w:r>
          </w:p>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56" w:type="dxa"/>
            <w:noWrap w:val="0"/>
            <w:vAlign w:val="top"/>
          </w:tcPr>
          <w:tbl>
            <w:tblPr>
              <w:tblStyle w:val="11"/>
              <w:tblW w:w="7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571"/>
              <w:gridCol w:w="954"/>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数学与应用数学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信息与计算科学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数理基础科学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应用物理学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声学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分子科学与工程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070305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070401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天文学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070601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070602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应用气象学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070704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军事海洋学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070801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070802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空间科学与技术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古生物学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整合科学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理论与应用力学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机械设计制造及其自动化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材料成型及控制工程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机械电子工程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工业设计</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过程装备与控制工程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车辆工程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汽车服务工程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080210</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微机电系统工程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测控技术与仪器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材料化学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金属材料工程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无机非金属材料工程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高分子材料与工程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复合材料与工程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粉体材料科学与工程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宝石及材料工艺学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焊接技术与工程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功能材料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纳米材料与技术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新能源材料与器件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080415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材料设计科学与工程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能源与动力工程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能源与环境系统工程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080503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新能源科学与工程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电气工程及其自动化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智能电网信息工程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光源与照明</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电气工程与智能控制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电机电器智能化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080606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通信工程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微电子科学与工程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光电信息科学与工程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广播电视工程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电子封装技术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集成电路设计与集成系统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电磁场与无线技术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电波传播与天线</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电子信息科学与技术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电信工程及管理</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080716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应用电子技术教育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轨道交通信号与控制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机器人工程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计算机科学与技术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软件工程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物联网工程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数字媒体技术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智能科学与技术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空间信息与数字技术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电子与计算机工程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数据科学与大数据技术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网络空间安全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新媒体技术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080913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电影制作</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建筑环境与能源应用工程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给排水科学与工程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建筑电气与智能化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城市地下空间工程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道路桥梁与渡河工程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081007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铁道工程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水利水电工程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水文与水资源工程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港口航道与海岸工程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081105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水利科学与工程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测绘工程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遥感科学与技术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导航工程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地理国情监测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081205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地理空间信息工程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化学工程与工艺</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制药工程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资源循环科学与工程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081305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化学工程与工业生物工程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勘查技术与工程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081404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地下水科学与工程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石油工程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矿物加工工程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油气储运工程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矿物资源工程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081506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海洋油气工程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纺织工程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服装设计与工程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非织造材料与工程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服装设计与工艺教育</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081605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丝绸设计与工程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轻化工程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包装工程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印刷工程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081704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香料香精技术与工程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交通运输</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航海技术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轮机工程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交通设备与控制工程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救助与打捞工程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081808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船舶电子电气工程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船舶与海洋工程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海洋工程与技术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081903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海洋资源开发技术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航空航天工程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飞行器设计与工程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飞行器制造工程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飞行器动力工程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飞行器环境与生命保障工程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飞行器质量与可靠性</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飞行器适航技术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082008</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飞行器控制与信息工程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082009</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无人驾驶航空器系统工程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武器系统与工程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武器发射工程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探测制导与控制技术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弹药工程与爆炸技术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特种能源技术与工程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082106</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装甲车辆工程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082107</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信息对抗技术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核工程与核技术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辐射防护与核安全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082204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核化工与核燃料工程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农业机械化及其自动化</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农业电气化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农业建筑环境与能源工程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农业水利工程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082306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土地整治工程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森林工程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木材科学与工程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082403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林产化工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环境科学与工程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082505</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环保设备工程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082507</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水质科学与技术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假肢矫形工程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082603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临床工程技术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食品质量与安全</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乳品工程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酿酒工程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葡萄与葡萄酒工程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082709</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食品安全与检测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建筑学</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082802</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城乡规划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082803</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风景园林</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082804</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历史建筑保护工程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082901</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083001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083002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生物制药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083101</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刑事科学技术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083102</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消防工程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083103</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交通管理工程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083104</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安全防范工程</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083105</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公安视听技术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抢险救援指挥与技术</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083108</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网络安全与执法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083109</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核生化消防</w:t>
                  </w:r>
                </w:p>
              </w:tc>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083110</w:t>
                  </w:r>
                </w:p>
              </w:tc>
              <w:tc>
                <w:tcPr>
                  <w:tcW w:w="30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海警舰艇指挥与技术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4035" w:type="dxa"/>
                <w:trHeight w:val="272" w:hRule="atLeast"/>
              </w:trPr>
              <w:tc>
                <w:tcPr>
                  <w:tcW w:w="9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120106</w:t>
                  </w:r>
                </w:p>
              </w:tc>
              <w:tc>
                <w:tcPr>
                  <w:tcW w:w="25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保密管理</w:t>
                  </w:r>
                </w:p>
              </w:tc>
            </w:tr>
          </w:tbl>
          <w:p>
            <w:pPr>
              <w:rPr>
                <w:rFonts w:hint="eastAsia" w:ascii="仿宋_GB2312" w:hAnsi="仿宋_GB2312" w:eastAsia="仿宋_GB2312" w:cs="仿宋_GB2312"/>
                <w:color w:val="auto"/>
              </w:rPr>
            </w:pPr>
          </w:p>
        </w:tc>
        <w:tc>
          <w:tcPr>
            <w:tcW w:w="713" w:type="dxa"/>
            <w:noWrap w:val="0"/>
            <w:vAlign w:val="center"/>
          </w:tcPr>
          <w:p>
            <w:pPr>
              <w:pStyle w:val="5"/>
              <w:spacing w:line="360" w:lineRule="exact"/>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高数(一)</w:t>
            </w: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bCs/>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widowControl/>
              <w:spacing w:line="360" w:lineRule="exact"/>
              <w:rPr>
                <w:rFonts w:hint="eastAsia" w:ascii="仿宋_GB2312" w:hAnsi="仿宋_GB2312" w:eastAsia="仿宋_GB2312" w:cs="仿宋_GB2312"/>
                <w:color w:val="auto"/>
                <w:sz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bCs/>
                <w:color w:val="auto"/>
                <w:sz w:val="24"/>
              </w:rPr>
              <w:t>高数(一)</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widowControl/>
              <w:spacing w:line="360" w:lineRule="exact"/>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236"/>
              <w:rPr>
                <w:rFonts w:hint="eastAsia" w:ascii="仿宋_GB2312" w:hAnsi="仿宋_GB2312" w:eastAsia="仿宋_GB2312" w:cs="仿宋_GB2312"/>
                <w:color w:val="auto"/>
                <w:sz w:val="24"/>
              </w:rPr>
            </w:pPr>
          </w:p>
          <w:p>
            <w:pPr>
              <w:pStyle w:val="26"/>
              <w:ind w:firstLine="0" w:firstLineChars="0"/>
              <w:rPr>
                <w:rFonts w:hint="eastAsia" w:ascii="仿宋_GB2312" w:hAnsi="仿宋_GB2312" w:eastAsia="仿宋_GB2312" w:cs="仿宋_GB2312"/>
                <w:color w:val="auto"/>
                <w:sz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高数(一)</w:t>
            </w:r>
          </w:p>
        </w:tc>
      </w:tr>
    </w:tbl>
    <w:p>
      <w:pPr>
        <w:spacing w:line="360" w:lineRule="exact"/>
        <w:rPr>
          <w:sz w:val="24"/>
        </w:rPr>
      </w:pPr>
    </w:p>
    <w:p>
      <w:pPr>
        <w:pStyle w:val="5"/>
        <w:spacing w:line="360" w:lineRule="exact"/>
        <w:jc w:val="left"/>
        <w:rPr>
          <w:rFonts w:ascii="黑体" w:hAnsi="黑体" w:eastAsia="黑体"/>
          <w:w w:val="98"/>
          <w:sz w:val="28"/>
          <w:szCs w:val="28"/>
        </w:rPr>
      </w:pPr>
    </w:p>
    <w:p>
      <w:pPr>
        <w:pStyle w:val="5"/>
        <w:spacing w:line="360" w:lineRule="exact"/>
        <w:jc w:val="left"/>
        <w:rPr>
          <w:rFonts w:hint="default" w:ascii="黑体" w:hAnsi="黑体" w:eastAsia="黑体"/>
          <w:w w:val="98"/>
          <w:sz w:val="28"/>
          <w:szCs w:val="28"/>
        </w:rPr>
      </w:pPr>
      <w:r>
        <w:rPr>
          <w:rFonts w:ascii="黑体" w:hAnsi="黑体" w:eastAsia="黑体"/>
          <w:w w:val="98"/>
          <w:sz w:val="28"/>
          <w:szCs w:val="28"/>
        </w:rPr>
        <w:t>四、经济学、管理学以及生物科学类、地理科学类、心理学类、药学类等</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1"/>
        <w:gridCol w:w="8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521"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招    生    专    业</w:t>
            </w:r>
          </w:p>
        </w:tc>
        <w:tc>
          <w:tcPr>
            <w:tcW w:w="880"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521"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国民经济管理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资源与环境经济学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商务经济学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能源经济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020107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劳动经济学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020211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020212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税收学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保险学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投资学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金融数学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信用管理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经济与金融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精算学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020309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互联网金融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020401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国际经济与贸易</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020402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贸易经济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自然地理与资源环境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人文地理与城乡规划</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地理信息科学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070903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地球信息科学与技术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生态学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应用心理学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071201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统计学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071202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应用统计学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机械工艺技术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机电技术教育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汽车维修工程教育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082506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资源环境科学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食品营养与检验教育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082708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烹饪与营养教育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园艺教育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动植物检疫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药物分析</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药物化学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100707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海洋药学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100802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中药资源与开发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管理科学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信息管理与信息系统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房地产开发与管理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工程造价</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120107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邮政管理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工商管理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会计学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国际商务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120216</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审计学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120218</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120210</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体育经济与管理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财务会计教育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120214</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市场营销教育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120215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零售业管理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120301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农林经济管理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120302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农村区域发展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行政管理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劳动与社会保障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土地资源管理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120405</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海关管理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120407</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海事管理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120409</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公共关系学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健康服务与管理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120411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海警后勤管理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图书馆学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档案学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120503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信息资源管理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物流工程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120603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工业工程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120702</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标准化工程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120703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质量管理工程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120801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120802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电子商务及法律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旅游管理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酒店管理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120903</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会展经济与管理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120904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旅游管理与服务教育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320101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区域经济开发与管理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420211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网络营销与管理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420401</w:t>
                  </w:r>
                </w:p>
              </w:tc>
              <w:tc>
                <w:tcPr>
                  <w:tcW w:w="29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城市公共安全管理</w:t>
                  </w:r>
                </w:p>
              </w:tc>
            </w:tr>
          </w:tbl>
          <w:p>
            <w:pPr>
              <w:pStyle w:val="5"/>
              <w:spacing w:line="360" w:lineRule="exact"/>
              <w:ind w:left="-6" w:leftChars="-2" w:firstLine="1"/>
              <w:jc w:val="left"/>
              <w:rPr>
                <w:rFonts w:ascii="仿宋_GB2312" w:hAnsi="仿宋_GB2312" w:eastAsia="仿宋_GB2312" w:cs="仿宋_GB2312"/>
                <w:color w:val="auto"/>
                <w:sz w:val="24"/>
                <w:szCs w:val="24"/>
              </w:rPr>
            </w:pPr>
          </w:p>
        </w:tc>
        <w:tc>
          <w:tcPr>
            <w:tcW w:w="880" w:type="dxa"/>
            <w:tcBorders>
              <w:top w:val="single" w:color="auto" w:sz="4" w:space="0"/>
              <w:left w:val="single" w:color="auto" w:sz="4" w:space="0"/>
              <w:bottom w:val="single" w:color="auto" w:sz="4" w:space="0"/>
            </w:tcBorders>
            <w:noWrap w:val="0"/>
            <w:vAlign w:val="center"/>
          </w:tcPr>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rPr>
                <w:rFonts w:ascii="仿宋_GB2312" w:hAnsi="仿宋_GB2312" w:eastAsia="仿宋_GB2312" w:cs="仿宋_GB2312"/>
                <w:color w:val="auto"/>
                <w:sz w:val="24"/>
                <w:szCs w:val="24"/>
              </w:rPr>
            </w:pPr>
          </w:p>
          <w:p>
            <w:pPr>
              <w:pStyle w:val="5"/>
              <w:spacing w:line="360" w:lineRule="exact"/>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高数（二）</w:t>
            </w: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bCs/>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高数（二）</w:t>
            </w:r>
          </w:p>
          <w:p>
            <w:pPr>
              <w:pStyle w:val="5"/>
              <w:spacing w:line="360" w:lineRule="exact"/>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p>
        </w:tc>
      </w:tr>
    </w:tbl>
    <w:p>
      <w:pPr>
        <w:pStyle w:val="5"/>
        <w:spacing w:line="360" w:lineRule="exact"/>
        <w:jc w:val="left"/>
        <w:rPr>
          <w:rFonts w:hint="default" w:ascii="Times New Roman" w:hAnsi="Times New Roman"/>
          <w:bCs/>
          <w:sz w:val="24"/>
          <w:szCs w:val="24"/>
        </w:rPr>
      </w:pPr>
    </w:p>
    <w:p>
      <w:pPr>
        <w:pStyle w:val="5"/>
        <w:spacing w:line="360" w:lineRule="exact"/>
        <w:jc w:val="left"/>
        <w:rPr>
          <w:rFonts w:ascii="黑体" w:hAnsi="黑体" w:eastAsia="黑体"/>
          <w:bCs/>
          <w:sz w:val="28"/>
          <w:szCs w:val="28"/>
        </w:rPr>
      </w:pPr>
    </w:p>
    <w:p>
      <w:pPr>
        <w:pStyle w:val="5"/>
        <w:spacing w:line="360" w:lineRule="exact"/>
        <w:jc w:val="left"/>
        <w:rPr>
          <w:rFonts w:hint="default" w:ascii="黑体" w:hAnsi="黑体" w:eastAsia="黑体"/>
          <w:bCs/>
          <w:sz w:val="28"/>
          <w:szCs w:val="28"/>
        </w:rPr>
      </w:pPr>
      <w:r>
        <w:rPr>
          <w:rFonts w:ascii="黑体" w:hAnsi="黑体" w:eastAsia="黑体"/>
          <w:bCs/>
          <w:sz w:val="28"/>
          <w:szCs w:val="28"/>
        </w:rPr>
        <w:t>五、法学</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6"/>
        <w:gridCol w:w="8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506"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894"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06"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监狱学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政治学与行政学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国际政治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外交学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国际事务与国际关系</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030205</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政治学、经济学与哲学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女性学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030305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家政学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030501</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科学社会主义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中国共产党历史</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030503</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治安学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边防管理</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禁毒学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警犬技术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经济犯罪侦查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边防指挥</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030608</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消防指挥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030609</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警卫学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030610</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公安情报学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犯罪学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030612</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公安管理学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涉外警务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030614</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国内安全保卫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030615</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警务指挥与战术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030616</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技术侦查学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030617</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海警执法</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083107</w:t>
                  </w:r>
                </w:p>
              </w:tc>
              <w:tc>
                <w:tcPr>
                  <w:tcW w:w="30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火灾勘查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963" w:type="dxa"/>
                <w:trHeight w:val="272"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330101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监所管理</w:t>
                  </w:r>
                </w:p>
              </w:tc>
            </w:tr>
          </w:tbl>
          <w:p>
            <w:pPr>
              <w:pStyle w:val="5"/>
              <w:spacing w:line="360" w:lineRule="exact"/>
              <w:jc w:val="left"/>
              <w:rPr>
                <w:rFonts w:ascii="仿宋_GB2312" w:hAnsi="仿宋_GB2312" w:eastAsia="仿宋_GB2312" w:cs="仿宋_GB2312"/>
                <w:bCs/>
                <w:color w:val="auto"/>
                <w:sz w:val="24"/>
                <w:szCs w:val="24"/>
              </w:rPr>
            </w:pPr>
          </w:p>
        </w:tc>
        <w:tc>
          <w:tcPr>
            <w:tcW w:w="89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民法</w:t>
            </w:r>
          </w:p>
        </w:tc>
      </w:tr>
    </w:tbl>
    <w:p>
      <w:pPr>
        <w:pStyle w:val="5"/>
        <w:spacing w:line="360" w:lineRule="exact"/>
        <w:jc w:val="left"/>
        <w:rPr>
          <w:rFonts w:hint="default" w:ascii="Times New Roman" w:hAnsi="Times New Roman"/>
          <w:bCs/>
          <w:sz w:val="24"/>
          <w:szCs w:val="24"/>
        </w:rPr>
      </w:pPr>
    </w:p>
    <w:p>
      <w:pPr>
        <w:pStyle w:val="5"/>
        <w:spacing w:line="360" w:lineRule="exact"/>
        <w:jc w:val="left"/>
        <w:rPr>
          <w:rFonts w:ascii="黑体" w:hAnsi="黑体" w:eastAsia="黑体"/>
          <w:bCs/>
          <w:sz w:val="28"/>
          <w:szCs w:val="28"/>
        </w:rPr>
      </w:pPr>
    </w:p>
    <w:p>
      <w:pPr>
        <w:pStyle w:val="5"/>
        <w:spacing w:line="360" w:lineRule="exact"/>
        <w:jc w:val="left"/>
        <w:rPr>
          <w:rFonts w:hint="default" w:ascii="黑体" w:hAnsi="黑体" w:eastAsia="黑体"/>
          <w:bCs/>
          <w:sz w:val="28"/>
          <w:szCs w:val="28"/>
        </w:rPr>
      </w:pPr>
      <w:r>
        <w:rPr>
          <w:rFonts w:ascii="黑体" w:hAnsi="黑体" w:eastAsia="黑体"/>
          <w:bCs/>
          <w:sz w:val="28"/>
          <w:szCs w:val="28"/>
        </w:rPr>
        <w:t>六、教育学</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91"/>
        <w:gridCol w:w="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491"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50"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color w:val="auto"/>
                <w:sz w:val="24"/>
                <w:szCs w:val="24"/>
              </w:rPr>
            </w:pPr>
            <w:r>
              <w:rPr>
                <w:rFonts w:ascii="仿宋_GB2312" w:hAnsi="仿宋_GB2312" w:eastAsia="仿宋_GB2312" w:cs="仿宋_GB2312"/>
                <w:b/>
                <w:color w:val="auto"/>
                <w:sz w:val="24"/>
                <w:szCs w:val="24"/>
              </w:rPr>
              <w:t>统考</w:t>
            </w:r>
          </w:p>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91" w:type="dxa"/>
            <w:tcBorders>
              <w:top w:val="single" w:color="auto" w:sz="4" w:space="0"/>
              <w:bottom w:val="single" w:color="auto" w:sz="4" w:space="0"/>
              <w:right w:val="single" w:color="auto" w:sz="4" w:space="0"/>
            </w:tcBorders>
            <w:noWrap w:val="0"/>
            <w:vAlign w:val="top"/>
          </w:tcPr>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2603"/>
              <w:gridCol w:w="1027"/>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教育学</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科学教育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人文教育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040104</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教育技术学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040105</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艺术教育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040106</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040107</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小学教育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040108</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特殊教育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040109</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华文教育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040110</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教育康复学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040111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卫生教育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体育教育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运动训练</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社会体育指导与管理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040204</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武术与民族传统体育</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040205</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运动人体科学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040206</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运动康复</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040207</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休闲体育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340101</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教育管理</w:t>
                  </w:r>
                </w:p>
              </w:tc>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340102</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2"/>
                <w:wAfter w:w="2500" w:type="pct"/>
                <w:trHeight w:val="272" w:hRule="atLeast"/>
              </w:trPr>
              <w:tc>
                <w:tcPr>
                  <w:tcW w:w="707"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340103</w:t>
                  </w:r>
                </w:p>
              </w:tc>
              <w:tc>
                <w:tcPr>
                  <w:tcW w:w="179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双语教育</w:t>
                  </w:r>
                </w:p>
              </w:tc>
            </w:tr>
          </w:tbl>
          <w:p>
            <w:pPr>
              <w:pStyle w:val="5"/>
              <w:spacing w:line="360" w:lineRule="exact"/>
              <w:jc w:val="left"/>
              <w:rPr>
                <w:rFonts w:ascii="仿宋_GB2312" w:hAnsi="仿宋_GB2312" w:eastAsia="仿宋_GB2312" w:cs="仿宋_GB2312"/>
                <w:bCs/>
                <w:color w:val="auto"/>
                <w:sz w:val="24"/>
                <w:szCs w:val="24"/>
              </w:rPr>
            </w:pPr>
          </w:p>
        </w:tc>
        <w:tc>
          <w:tcPr>
            <w:tcW w:w="950"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教育</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理论</w:t>
            </w:r>
          </w:p>
        </w:tc>
      </w:tr>
    </w:tbl>
    <w:p>
      <w:pPr>
        <w:pStyle w:val="5"/>
        <w:spacing w:line="360" w:lineRule="exact"/>
        <w:jc w:val="left"/>
        <w:rPr>
          <w:rFonts w:hint="default" w:ascii="Times New Roman" w:hAnsi="Times New Roman"/>
          <w:bCs/>
          <w:sz w:val="24"/>
          <w:szCs w:val="24"/>
        </w:rPr>
      </w:pPr>
    </w:p>
    <w:p>
      <w:pPr>
        <w:pStyle w:val="5"/>
        <w:spacing w:line="360" w:lineRule="exact"/>
        <w:jc w:val="left"/>
        <w:rPr>
          <w:rFonts w:ascii="黑体" w:hAnsi="黑体" w:eastAsia="黑体"/>
          <w:bCs/>
          <w:sz w:val="28"/>
          <w:szCs w:val="28"/>
        </w:rPr>
      </w:pPr>
    </w:p>
    <w:p>
      <w:pPr>
        <w:pStyle w:val="5"/>
        <w:spacing w:line="360" w:lineRule="exact"/>
        <w:jc w:val="left"/>
        <w:rPr>
          <w:rFonts w:ascii="黑体" w:hAnsi="黑体" w:eastAsia="黑体"/>
          <w:bCs/>
          <w:sz w:val="28"/>
          <w:szCs w:val="28"/>
        </w:rPr>
      </w:pPr>
    </w:p>
    <w:p>
      <w:pPr>
        <w:pStyle w:val="5"/>
        <w:spacing w:line="360" w:lineRule="exact"/>
        <w:jc w:val="left"/>
        <w:rPr>
          <w:rFonts w:ascii="黑体" w:hAnsi="黑体" w:eastAsia="黑体"/>
          <w:bCs/>
          <w:sz w:val="28"/>
          <w:szCs w:val="28"/>
        </w:rPr>
      </w:pPr>
    </w:p>
    <w:p>
      <w:pPr>
        <w:pStyle w:val="5"/>
        <w:spacing w:line="360" w:lineRule="exact"/>
        <w:jc w:val="left"/>
        <w:rPr>
          <w:rFonts w:ascii="黑体" w:hAnsi="黑体" w:eastAsia="黑体"/>
          <w:bCs/>
          <w:sz w:val="28"/>
          <w:szCs w:val="28"/>
        </w:rPr>
      </w:pPr>
    </w:p>
    <w:p>
      <w:pPr>
        <w:pStyle w:val="5"/>
        <w:spacing w:line="360" w:lineRule="exact"/>
        <w:jc w:val="left"/>
        <w:rPr>
          <w:rFonts w:hint="default" w:ascii="黑体" w:hAnsi="黑体" w:eastAsia="黑体"/>
          <w:bCs/>
          <w:sz w:val="28"/>
          <w:szCs w:val="28"/>
        </w:rPr>
      </w:pPr>
      <w:r>
        <w:rPr>
          <w:rFonts w:ascii="黑体" w:hAnsi="黑体" w:eastAsia="黑体"/>
          <w:bCs/>
          <w:sz w:val="28"/>
          <w:szCs w:val="28"/>
        </w:rPr>
        <w:t>七、农学</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1"/>
        <w:gridCol w:w="9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491"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09"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91"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603"/>
              <w:gridCol w:w="1087"/>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植物保护</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植物科学与技术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090105</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种子科学与工程</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090106</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设施农业科学与工程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090107</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茶学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090108</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烟草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090109</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应用生物科学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农业资源与环境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野生动物与自然保护区管理</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090203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水土保持与荒漠化防治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动物科学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090303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蜂学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090402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动物药学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090501</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090502</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园林</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090503</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森林保护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水产养殖学</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090602</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海洋渔业科学与技术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090603</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水族科学与技术</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090604</w:t>
                  </w:r>
                </w:p>
              </w:tc>
              <w:tc>
                <w:tcPr>
                  <w:tcW w:w="24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水生动物医学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3488" w:type="dxa"/>
                <w:trHeight w:val="272" w:hRule="atLeast"/>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090701</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草业科学</w:t>
                  </w:r>
                </w:p>
              </w:tc>
            </w:tr>
          </w:tbl>
          <w:p>
            <w:pPr>
              <w:pStyle w:val="5"/>
              <w:spacing w:line="360" w:lineRule="exact"/>
              <w:ind w:left="37"/>
              <w:jc w:val="left"/>
              <w:rPr>
                <w:rFonts w:ascii="仿宋_GB2312" w:hAnsi="仿宋_GB2312" w:eastAsia="仿宋_GB2312" w:cs="仿宋_GB2312"/>
                <w:bCs/>
                <w:color w:val="auto"/>
                <w:sz w:val="24"/>
                <w:szCs w:val="24"/>
              </w:rPr>
            </w:pPr>
          </w:p>
        </w:tc>
        <w:tc>
          <w:tcPr>
            <w:tcW w:w="909"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5"/>
              <w:spacing w:line="360" w:lineRule="exact"/>
              <w:ind w:left="12" w:leftChars="4" w:right="-328" w:rightChars="-104" w:firstLine="87" w:firstLineChars="37"/>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ind w:left="-75" w:leftChars="-71" w:right="-328" w:rightChars="-104" w:hanging="149" w:hangingChars="63"/>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生态学基础</w:t>
            </w:r>
          </w:p>
        </w:tc>
      </w:tr>
    </w:tbl>
    <w:p>
      <w:pPr>
        <w:pStyle w:val="5"/>
        <w:spacing w:line="360" w:lineRule="exact"/>
        <w:jc w:val="left"/>
        <w:rPr>
          <w:rFonts w:hint="default" w:ascii="Times New Roman" w:hAnsi="Times New Roman"/>
          <w:bCs/>
          <w:sz w:val="24"/>
          <w:szCs w:val="24"/>
        </w:rPr>
      </w:pPr>
    </w:p>
    <w:p>
      <w:pPr>
        <w:pStyle w:val="5"/>
        <w:spacing w:line="360" w:lineRule="exact"/>
        <w:jc w:val="left"/>
        <w:rPr>
          <w:rFonts w:ascii="黑体" w:hAnsi="黑体" w:eastAsia="黑体"/>
          <w:bCs/>
          <w:sz w:val="28"/>
          <w:szCs w:val="28"/>
        </w:rPr>
      </w:pPr>
    </w:p>
    <w:p>
      <w:pPr>
        <w:pStyle w:val="5"/>
        <w:spacing w:line="360" w:lineRule="exact"/>
        <w:jc w:val="left"/>
        <w:rPr>
          <w:rFonts w:ascii="黑体" w:hAnsi="黑体" w:eastAsia="黑体"/>
          <w:bCs/>
          <w:sz w:val="28"/>
          <w:szCs w:val="28"/>
        </w:rPr>
      </w:pPr>
    </w:p>
    <w:p>
      <w:pPr>
        <w:pStyle w:val="5"/>
        <w:spacing w:line="360" w:lineRule="exact"/>
        <w:jc w:val="left"/>
        <w:rPr>
          <w:rFonts w:ascii="黑体" w:hAnsi="黑体" w:eastAsia="黑体"/>
          <w:bCs/>
          <w:sz w:val="28"/>
          <w:szCs w:val="28"/>
        </w:rPr>
      </w:pPr>
    </w:p>
    <w:p>
      <w:pPr>
        <w:pStyle w:val="5"/>
        <w:spacing w:line="360" w:lineRule="exact"/>
        <w:jc w:val="left"/>
        <w:rPr>
          <w:rFonts w:hint="default" w:ascii="黑体" w:hAnsi="黑体" w:eastAsia="黑体"/>
          <w:sz w:val="28"/>
          <w:szCs w:val="28"/>
        </w:rPr>
      </w:pPr>
      <w:r>
        <w:rPr>
          <w:rFonts w:ascii="黑体" w:hAnsi="黑体" w:eastAsia="黑体"/>
          <w:bCs/>
          <w:sz w:val="28"/>
          <w:szCs w:val="28"/>
        </w:rPr>
        <w:t>八、医学</w:t>
      </w:r>
      <w:r>
        <w:rPr>
          <w:rFonts w:ascii="黑体" w:hAnsi="黑体" w:eastAsia="黑体"/>
          <w:sz w:val="28"/>
          <w:szCs w:val="28"/>
        </w:rPr>
        <w:t>（中医学类、药学类等两个一级学科除外）</w:t>
      </w:r>
    </w:p>
    <w:p>
      <w:pPr>
        <w:spacing w:line="20" w:lineRule="exact"/>
        <w:rPr>
          <w:shd w:val="clear" w:color="auto" w:fill="FFFFFF"/>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6"/>
        <w:gridCol w:w="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476" w:type="dxa"/>
            <w:tcBorders>
              <w:top w:val="single" w:color="auto" w:sz="4" w:space="0"/>
              <w:bottom w:val="single" w:color="auto" w:sz="4" w:space="0"/>
              <w:right w:val="single" w:color="auto" w:sz="4" w:space="0"/>
            </w:tcBorders>
            <w:noWrap w:val="0"/>
            <w:vAlign w:val="center"/>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招    生    专    业</w:t>
            </w:r>
          </w:p>
        </w:tc>
        <w:tc>
          <w:tcPr>
            <w:tcW w:w="924" w:type="dxa"/>
            <w:tcBorders>
              <w:top w:val="single" w:color="auto" w:sz="4" w:space="0"/>
              <w:left w:val="single" w:color="auto" w:sz="4" w:space="0"/>
              <w:bottom w:val="single" w:color="auto" w:sz="4" w:space="0"/>
            </w:tcBorders>
            <w:noWrap w:val="0"/>
            <w:vAlign w:val="top"/>
          </w:tcPr>
          <w:p>
            <w:pPr>
              <w:pStyle w:val="5"/>
              <w:spacing w:line="360" w:lineRule="exact"/>
              <w:jc w:val="center"/>
              <w:rPr>
                <w:rFonts w:ascii="仿宋_GB2312" w:hAnsi="仿宋_GB2312" w:eastAsia="仿宋_GB2312" w:cs="仿宋_GB2312"/>
                <w:b/>
                <w:bCs/>
                <w:color w:val="auto"/>
                <w:sz w:val="24"/>
                <w:szCs w:val="24"/>
              </w:rPr>
            </w:pPr>
            <w:r>
              <w:rPr>
                <w:rFonts w:ascii="仿宋_GB2312" w:hAnsi="仿宋_GB2312" w:eastAsia="仿宋_GB2312" w:cs="仿宋_GB2312"/>
                <w:b/>
                <w:color w:val="auto"/>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76" w:type="dxa"/>
            <w:tcBorders>
              <w:top w:val="single" w:color="auto" w:sz="4" w:space="0"/>
              <w:bottom w:val="single" w:color="auto" w:sz="4" w:space="0"/>
              <w:right w:val="single" w:color="auto" w:sz="4" w:space="0"/>
            </w:tcBorders>
            <w:noWrap w:val="0"/>
            <w:vAlign w:val="top"/>
          </w:tcPr>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320"/>
              <w:gridCol w:w="960"/>
              <w:gridCol w:w="3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基础医学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100102</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100103</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生物医学科学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麻醉学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眼视光医学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精神医学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放射医学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100207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100301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口腔医学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食品卫生与营养学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妇幼保健医学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卫生监督</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100405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全球健康学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傣医学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回医学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中医养生学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100512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中医儿科学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100601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中西医临床医学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100901</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法医学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医学实验技术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101003</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医学影像技术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101004</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眼视光学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101005</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康复治疗学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101006</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口腔医学技术</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101007</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卫生检验与检疫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101008</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听力与言语康复学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101009</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康复物理治疗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101010</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康复作业治疗</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101102</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助产学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401101</w:t>
                  </w:r>
                </w:p>
              </w:tc>
              <w:tc>
                <w:tcPr>
                  <w:tcW w:w="30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社区护理学</w:t>
                  </w:r>
                </w:p>
              </w:tc>
            </w:tr>
          </w:tbl>
          <w:p>
            <w:pPr>
              <w:pStyle w:val="5"/>
              <w:spacing w:line="360" w:lineRule="exact"/>
              <w:jc w:val="left"/>
              <w:rPr>
                <w:rFonts w:ascii="仿宋_GB2312" w:hAnsi="仿宋_GB2312" w:eastAsia="仿宋_GB2312" w:cs="仿宋_GB2312"/>
                <w:bCs/>
                <w:color w:val="auto"/>
                <w:sz w:val="24"/>
                <w:szCs w:val="24"/>
              </w:rPr>
            </w:pPr>
          </w:p>
        </w:tc>
        <w:tc>
          <w:tcPr>
            <w:tcW w:w="924" w:type="dxa"/>
            <w:tcBorders>
              <w:top w:val="single" w:color="auto" w:sz="4" w:space="0"/>
              <w:left w:val="single" w:color="auto" w:sz="4" w:space="0"/>
              <w:bottom w:val="single" w:color="auto" w:sz="4" w:space="0"/>
            </w:tcBorders>
            <w:noWrap w:val="0"/>
            <w:vAlign w:val="top"/>
          </w:tcPr>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widowControl/>
              <w:spacing w:line="360" w:lineRule="exact"/>
              <w:jc w:val="left"/>
              <w:rPr>
                <w:rFonts w:hint="eastAsia" w:ascii="仿宋_GB2312" w:hAnsi="仿宋_GB2312" w:eastAsia="仿宋_GB2312" w:cs="仿宋_GB2312"/>
                <w:bCs/>
                <w:color w:val="auto"/>
                <w:sz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政治</w:t>
            </w:r>
          </w:p>
          <w:p>
            <w:pPr>
              <w:pStyle w:val="5"/>
              <w:spacing w:line="360" w:lineRule="exact"/>
              <w:jc w:val="center"/>
              <w:rPr>
                <w:rFonts w:ascii="仿宋_GB2312" w:hAnsi="仿宋_GB2312" w:eastAsia="仿宋_GB2312" w:cs="仿宋_GB2312"/>
                <w:color w:val="auto"/>
                <w:sz w:val="24"/>
                <w:szCs w:val="24"/>
              </w:rPr>
            </w:pPr>
          </w:p>
          <w:p>
            <w:pPr>
              <w:pStyle w:val="5"/>
              <w:spacing w:line="360" w:lineRule="exact"/>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外语</w:t>
            </w:r>
          </w:p>
          <w:p>
            <w:pPr>
              <w:widowControl/>
              <w:spacing w:line="360" w:lineRule="exact"/>
              <w:jc w:val="center"/>
              <w:rPr>
                <w:rFonts w:hint="eastAsia" w:ascii="仿宋_GB2312" w:hAnsi="仿宋_GB2312" w:eastAsia="仿宋_GB2312" w:cs="仿宋_GB2312"/>
                <w:color w:val="auto"/>
                <w:sz w:val="24"/>
              </w:rPr>
            </w:pPr>
          </w:p>
          <w:p>
            <w:pPr>
              <w:widowControl/>
              <w:spacing w:line="3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医学</w:t>
            </w:r>
          </w:p>
          <w:p>
            <w:pPr>
              <w:widowControl/>
              <w:spacing w:line="360" w:lineRule="exact"/>
              <w:jc w:val="center"/>
              <w:rPr>
                <w:rFonts w:hint="eastAsia" w:ascii="仿宋_GB2312" w:hAnsi="仿宋_GB2312" w:eastAsia="仿宋_GB2312" w:cs="仿宋_GB2312"/>
                <w:bCs/>
                <w:color w:val="auto"/>
                <w:sz w:val="24"/>
              </w:rPr>
            </w:pPr>
            <w:r>
              <w:rPr>
                <w:rFonts w:hint="eastAsia" w:ascii="仿宋_GB2312" w:hAnsi="仿宋_GB2312" w:eastAsia="仿宋_GB2312" w:cs="仿宋_GB2312"/>
                <w:color w:val="auto"/>
                <w:sz w:val="24"/>
              </w:rPr>
              <w:t>综合</w:t>
            </w:r>
          </w:p>
        </w:tc>
      </w:tr>
    </w:tbl>
    <w:p>
      <w:pPr>
        <w:spacing w:line="560" w:lineRule="exact"/>
        <w:rPr>
          <w:rFonts w:hint="eastAsia" w:ascii="仿宋_GB2312"/>
        </w:rPr>
      </w:pPr>
      <w:bookmarkStart w:id="0" w:name="_GoBack"/>
      <w:bookmarkEnd w:id="0"/>
    </w:p>
    <w:sectPr>
      <w:footerReference r:id="rId3" w:type="default"/>
      <w:footerReference r:id="rId4" w:type="even"/>
      <w:pgSz w:w="11906" w:h="16838"/>
      <w:pgMar w:top="2098" w:right="1474" w:bottom="1417" w:left="1587" w:header="851" w:footer="992" w:gutter="0"/>
      <w:pgNumType w:fmt="numberInDash" w:start="1"/>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18030">
    <w:altName w:val="微软雅黑"/>
    <w:panose1 w:val="00000000000000000000"/>
    <w:charset w:val="86"/>
    <w:family w:val="auto"/>
    <w:pitch w:val="default"/>
    <w:sig w:usb0="00000000" w:usb1="00000000" w:usb2="0000001E" w:usb3="00000000" w:csb0="003C004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640" w:leftChars="200" w:right="640" w:rightChars="200"/>
      <w:rPr>
        <w:rStyle w:val="14"/>
        <w:rFonts w:ascii="宋体" w:hAnsi="宋体" w:eastAsia="宋体"/>
        <w:sz w:val="28"/>
        <w:szCs w:val="28"/>
      </w:rPr>
    </w:pPr>
    <w:r>
      <w:rPr>
        <w:rFonts w:ascii="宋体" w:hAnsi="宋体" w:eastAsia="宋体"/>
        <w:sz w:val="28"/>
        <w:szCs w:val="28"/>
      </w:rPr>
      <w:fldChar w:fldCharType="begin"/>
    </w:r>
    <w:r>
      <w:rPr>
        <w:rStyle w:val="14"/>
        <w:rFonts w:ascii="宋体" w:hAnsi="宋体" w:eastAsia="宋体"/>
        <w:sz w:val="28"/>
        <w:szCs w:val="28"/>
      </w:rPr>
      <w:instrText xml:space="preserve">PAGE  </w:instrText>
    </w:r>
    <w:r>
      <w:rPr>
        <w:rFonts w:ascii="宋体" w:hAnsi="宋体" w:eastAsia="宋体"/>
        <w:sz w:val="28"/>
        <w:szCs w:val="28"/>
      </w:rPr>
      <w:fldChar w:fldCharType="separate"/>
    </w:r>
    <w:r>
      <w:rPr>
        <w:rStyle w:val="14"/>
        <w:rFonts w:ascii="宋体" w:hAnsi="宋体" w:eastAsia="宋体"/>
        <w:sz w:val="28"/>
        <w:szCs w:val="28"/>
      </w:rPr>
      <w:t>- 5 -</w:t>
    </w:r>
    <w:r>
      <w:rPr>
        <w:rFonts w:ascii="宋体" w:hAnsi="宋体" w:eastAsia="宋体"/>
        <w:sz w:val="28"/>
        <w:szCs w:val="28"/>
      </w:rPr>
      <w:fldChar w:fldCharType="end"/>
    </w:r>
  </w:p>
  <w:p>
    <w:pPr>
      <w:pStyle w:val="7"/>
      <w:wordWrap w:val="0"/>
      <w:ind w:right="1200"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4</w:t>
    </w:r>
    <w:r>
      <w:fldChar w:fldCharType="end"/>
    </w:r>
  </w:p>
  <w:p>
    <w:pPr>
      <w:pStyle w:val="7"/>
      <w:ind w:right="360" w:firstLine="360"/>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E6E9A"/>
    <w:multiLevelType w:val="singleLevel"/>
    <w:tmpl w:val="611E6E9A"/>
    <w:lvl w:ilvl="0" w:tentative="0">
      <w:start w:val="3"/>
      <w:numFmt w:val="decimal"/>
      <w:suff w:val="nothing"/>
      <w:lvlText w:val="%1."/>
      <w:lvlJc w:val="left"/>
    </w:lvl>
  </w:abstractNum>
  <w:abstractNum w:abstractNumId="1">
    <w:nsid w:val="611F7FC7"/>
    <w:multiLevelType w:val="singleLevel"/>
    <w:tmpl w:val="611F7FC7"/>
    <w:lvl w:ilvl="0" w:tentative="0">
      <w:start w:val="7"/>
      <w:numFmt w:val="decimal"/>
      <w:suff w:val="nothing"/>
      <w:lvlText w:val="%1."/>
      <w:lvlJc w:val="left"/>
    </w:lvl>
  </w:abstractNum>
  <w:abstractNum w:abstractNumId="2">
    <w:nsid w:val="6121F0DE"/>
    <w:multiLevelType w:val="singleLevel"/>
    <w:tmpl w:val="6121F0DE"/>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6C"/>
    <w:rsid w:val="0000318C"/>
    <w:rsid w:val="000673D6"/>
    <w:rsid w:val="0007724B"/>
    <w:rsid w:val="00096521"/>
    <w:rsid w:val="000C6DDB"/>
    <w:rsid w:val="000D1AB0"/>
    <w:rsid w:val="001A5DC9"/>
    <w:rsid w:val="001B7F2E"/>
    <w:rsid w:val="001C0075"/>
    <w:rsid w:val="002128F3"/>
    <w:rsid w:val="002268CB"/>
    <w:rsid w:val="00246C03"/>
    <w:rsid w:val="002506E9"/>
    <w:rsid w:val="00270F56"/>
    <w:rsid w:val="00276BFC"/>
    <w:rsid w:val="00286FFF"/>
    <w:rsid w:val="00290290"/>
    <w:rsid w:val="00292A61"/>
    <w:rsid w:val="002C426A"/>
    <w:rsid w:val="002D0DFC"/>
    <w:rsid w:val="002D3B63"/>
    <w:rsid w:val="002E66C3"/>
    <w:rsid w:val="002E7CD3"/>
    <w:rsid w:val="003201B5"/>
    <w:rsid w:val="003566BC"/>
    <w:rsid w:val="00366BE3"/>
    <w:rsid w:val="00380C37"/>
    <w:rsid w:val="0039066C"/>
    <w:rsid w:val="00392CCF"/>
    <w:rsid w:val="003E11AB"/>
    <w:rsid w:val="004251BA"/>
    <w:rsid w:val="004279A2"/>
    <w:rsid w:val="004413E6"/>
    <w:rsid w:val="0045036F"/>
    <w:rsid w:val="00457C0F"/>
    <w:rsid w:val="004806F0"/>
    <w:rsid w:val="004A169B"/>
    <w:rsid w:val="004B588C"/>
    <w:rsid w:val="00511A95"/>
    <w:rsid w:val="00554F61"/>
    <w:rsid w:val="00565AEC"/>
    <w:rsid w:val="005F0DC5"/>
    <w:rsid w:val="00634197"/>
    <w:rsid w:val="006779FE"/>
    <w:rsid w:val="006B7997"/>
    <w:rsid w:val="006C327B"/>
    <w:rsid w:val="00713B07"/>
    <w:rsid w:val="00724B09"/>
    <w:rsid w:val="007256DC"/>
    <w:rsid w:val="007401A3"/>
    <w:rsid w:val="00744517"/>
    <w:rsid w:val="0074648A"/>
    <w:rsid w:val="00782BD1"/>
    <w:rsid w:val="007B1A64"/>
    <w:rsid w:val="007B3BB1"/>
    <w:rsid w:val="007E4BE8"/>
    <w:rsid w:val="007F5625"/>
    <w:rsid w:val="00817715"/>
    <w:rsid w:val="0082489A"/>
    <w:rsid w:val="00825437"/>
    <w:rsid w:val="00833487"/>
    <w:rsid w:val="00870BBB"/>
    <w:rsid w:val="008C591F"/>
    <w:rsid w:val="00905BBF"/>
    <w:rsid w:val="009334FD"/>
    <w:rsid w:val="00941F4D"/>
    <w:rsid w:val="00961600"/>
    <w:rsid w:val="009904C7"/>
    <w:rsid w:val="009F5B83"/>
    <w:rsid w:val="00A36E2A"/>
    <w:rsid w:val="00A615BF"/>
    <w:rsid w:val="00A84963"/>
    <w:rsid w:val="00AC188F"/>
    <w:rsid w:val="00AC2F82"/>
    <w:rsid w:val="00B318C9"/>
    <w:rsid w:val="00B74A62"/>
    <w:rsid w:val="00B759F9"/>
    <w:rsid w:val="00B80A99"/>
    <w:rsid w:val="00BA4618"/>
    <w:rsid w:val="00BE79F0"/>
    <w:rsid w:val="00BF30AE"/>
    <w:rsid w:val="00CD68B4"/>
    <w:rsid w:val="00CE1EEC"/>
    <w:rsid w:val="00D43CC9"/>
    <w:rsid w:val="00D54548"/>
    <w:rsid w:val="00D639D1"/>
    <w:rsid w:val="00DC5587"/>
    <w:rsid w:val="00DE2471"/>
    <w:rsid w:val="00E00ED1"/>
    <w:rsid w:val="00E03916"/>
    <w:rsid w:val="00E4386A"/>
    <w:rsid w:val="00E4790C"/>
    <w:rsid w:val="00E507B8"/>
    <w:rsid w:val="00E82A9A"/>
    <w:rsid w:val="00EF5154"/>
    <w:rsid w:val="00F03321"/>
    <w:rsid w:val="00F84B29"/>
    <w:rsid w:val="00FA566A"/>
    <w:rsid w:val="00FC3B0E"/>
    <w:rsid w:val="02BD7D0D"/>
    <w:rsid w:val="0320669E"/>
    <w:rsid w:val="03403C7D"/>
    <w:rsid w:val="043A6CAA"/>
    <w:rsid w:val="05F2106A"/>
    <w:rsid w:val="0768033E"/>
    <w:rsid w:val="084D54FA"/>
    <w:rsid w:val="0A1F3B8A"/>
    <w:rsid w:val="0A30492B"/>
    <w:rsid w:val="0B9B51CD"/>
    <w:rsid w:val="0E3918AB"/>
    <w:rsid w:val="0FFA1D13"/>
    <w:rsid w:val="12B70A5E"/>
    <w:rsid w:val="13AA429F"/>
    <w:rsid w:val="140E6134"/>
    <w:rsid w:val="161E2845"/>
    <w:rsid w:val="172E41DE"/>
    <w:rsid w:val="1B5A28CA"/>
    <w:rsid w:val="1D1A4EA8"/>
    <w:rsid w:val="1E1418AD"/>
    <w:rsid w:val="1EC84AAB"/>
    <w:rsid w:val="1F4B73AB"/>
    <w:rsid w:val="1F825C22"/>
    <w:rsid w:val="28934C9A"/>
    <w:rsid w:val="2DC3703E"/>
    <w:rsid w:val="2E5250E2"/>
    <w:rsid w:val="30E07947"/>
    <w:rsid w:val="36942335"/>
    <w:rsid w:val="37763304"/>
    <w:rsid w:val="3D571A5B"/>
    <w:rsid w:val="3FC43C29"/>
    <w:rsid w:val="419E5EEA"/>
    <w:rsid w:val="47717154"/>
    <w:rsid w:val="47D816C1"/>
    <w:rsid w:val="47FC082D"/>
    <w:rsid w:val="4AF5035D"/>
    <w:rsid w:val="4B432CE1"/>
    <w:rsid w:val="4C206C8E"/>
    <w:rsid w:val="4C28601E"/>
    <w:rsid w:val="4E1B2383"/>
    <w:rsid w:val="5A5F27A8"/>
    <w:rsid w:val="5AFC4F9F"/>
    <w:rsid w:val="5BE85B2C"/>
    <w:rsid w:val="5BEE25BD"/>
    <w:rsid w:val="5C923063"/>
    <w:rsid w:val="5CD77F30"/>
    <w:rsid w:val="5E742B21"/>
    <w:rsid w:val="60061397"/>
    <w:rsid w:val="602742CF"/>
    <w:rsid w:val="643C64C1"/>
    <w:rsid w:val="68262908"/>
    <w:rsid w:val="6BEA30E3"/>
    <w:rsid w:val="76233256"/>
    <w:rsid w:val="7935727F"/>
    <w:rsid w:val="7A81664C"/>
    <w:rsid w:val="ADFBC1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 w:type="paragraph" w:styleId="4">
    <w:name w:val="annotation text"/>
    <w:basedOn w:val="1"/>
    <w:link w:val="17"/>
    <w:unhideWhenUsed/>
    <w:qFormat/>
    <w:uiPriority w:val="99"/>
    <w:pPr>
      <w:jc w:val="left"/>
    </w:pPr>
  </w:style>
  <w:style w:type="paragraph" w:styleId="5">
    <w:name w:val="Plain Text"/>
    <w:basedOn w:val="1"/>
    <w:qFormat/>
    <w:uiPriority w:val="0"/>
    <w:rPr>
      <w:rFonts w:hint="eastAsia" w:ascii="宋体" w:hAnsi="Courier New"/>
      <w:szCs w:val="20"/>
    </w:rPr>
  </w:style>
  <w:style w:type="paragraph" w:styleId="6">
    <w:name w:val="Balloon Text"/>
    <w:basedOn w:val="1"/>
    <w:link w:val="18"/>
    <w:unhideWhenUsed/>
    <w:qFormat/>
    <w:uiPriority w:val="99"/>
    <w:rPr>
      <w:sz w:val="18"/>
      <w:szCs w:val="1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21"/>
    <w:unhideWhenUsed/>
    <w:qFormat/>
    <w:uiPriority w:val="99"/>
    <w:rPr>
      <w:b/>
      <w:bCs/>
    </w:rPr>
  </w:style>
  <w:style w:type="character" w:styleId="13">
    <w:name w:val="Strong"/>
    <w:qFormat/>
    <w:uiPriority w:val="0"/>
    <w:rPr>
      <w:b/>
    </w:rPr>
  </w:style>
  <w:style w:type="character" w:styleId="14">
    <w:name w:val="page number"/>
    <w:qFormat/>
    <w:uiPriority w:val="0"/>
  </w:style>
  <w:style w:type="character" w:styleId="15">
    <w:name w:val="Hyperlink"/>
    <w:qFormat/>
    <w:uiPriority w:val="0"/>
    <w:rPr>
      <w:color w:val="0000FF"/>
      <w:u w:val="single"/>
    </w:rPr>
  </w:style>
  <w:style w:type="character" w:styleId="16">
    <w:name w:val="annotation reference"/>
    <w:unhideWhenUsed/>
    <w:qFormat/>
    <w:uiPriority w:val="99"/>
    <w:rPr>
      <w:sz w:val="21"/>
      <w:szCs w:val="21"/>
    </w:rPr>
  </w:style>
  <w:style w:type="character" w:customStyle="1" w:styleId="17">
    <w:name w:val="批注文字 Char"/>
    <w:link w:val="4"/>
    <w:semiHidden/>
    <w:qFormat/>
    <w:uiPriority w:val="99"/>
    <w:rPr>
      <w:rFonts w:ascii="Times New Roman" w:hAnsi="Times New Roman" w:eastAsia="仿宋"/>
      <w:color w:val="000000"/>
      <w:kern w:val="2"/>
      <w:sz w:val="32"/>
      <w:szCs w:val="32"/>
    </w:rPr>
  </w:style>
  <w:style w:type="character" w:customStyle="1" w:styleId="18">
    <w:name w:val="批注框文本 字符"/>
    <w:link w:val="6"/>
    <w:semiHidden/>
    <w:qFormat/>
    <w:uiPriority w:val="99"/>
    <w:rPr>
      <w:rFonts w:ascii="Times New Roman" w:hAnsi="Times New Roman" w:eastAsia="仿宋" w:cs="Times New Roman"/>
      <w:color w:val="000000"/>
      <w:sz w:val="18"/>
      <w:szCs w:val="18"/>
    </w:rPr>
  </w:style>
  <w:style w:type="character" w:customStyle="1" w:styleId="19">
    <w:name w:val="页脚 字符"/>
    <w:link w:val="7"/>
    <w:qFormat/>
    <w:uiPriority w:val="0"/>
    <w:rPr>
      <w:rFonts w:ascii="Times New Roman" w:hAnsi="Times New Roman" w:eastAsia="仿宋" w:cs="Times New Roman"/>
      <w:color w:val="000000"/>
      <w:sz w:val="18"/>
      <w:szCs w:val="18"/>
    </w:rPr>
  </w:style>
  <w:style w:type="character" w:customStyle="1" w:styleId="20">
    <w:name w:val="页眉 字符"/>
    <w:link w:val="8"/>
    <w:qFormat/>
    <w:uiPriority w:val="99"/>
    <w:rPr>
      <w:rFonts w:ascii="Times New Roman" w:hAnsi="Times New Roman" w:eastAsia="仿宋" w:cs="Times New Roman"/>
      <w:color w:val="000000"/>
      <w:sz w:val="18"/>
      <w:szCs w:val="18"/>
    </w:rPr>
  </w:style>
  <w:style w:type="character" w:customStyle="1" w:styleId="21">
    <w:name w:val="批注主题 Char"/>
    <w:link w:val="10"/>
    <w:semiHidden/>
    <w:qFormat/>
    <w:uiPriority w:val="99"/>
    <w:rPr>
      <w:rFonts w:ascii="Times New Roman" w:hAnsi="Times New Roman" w:eastAsia="仿宋"/>
      <w:b/>
      <w:bCs/>
      <w:color w:val="000000"/>
      <w:kern w:val="2"/>
      <w:sz w:val="32"/>
      <w:szCs w:val="32"/>
    </w:rPr>
  </w:style>
  <w:style w:type="character" w:customStyle="1" w:styleId="22">
    <w:name w:val="批注框文本 Char"/>
    <w:semiHidden/>
    <w:qFormat/>
    <w:uiPriority w:val="99"/>
    <w:rPr>
      <w:rFonts w:ascii="Times New Roman" w:hAnsi="Times New Roman" w:eastAsia="仿宋" w:cs="Times New Roman"/>
      <w:color w:val="000000"/>
      <w:sz w:val="18"/>
      <w:szCs w:val="18"/>
    </w:rPr>
  </w:style>
  <w:style w:type="character" w:customStyle="1" w:styleId="23">
    <w:name w:val="页眉 Char"/>
    <w:qFormat/>
    <w:uiPriority w:val="99"/>
    <w:rPr>
      <w:rFonts w:ascii="Times New Roman" w:hAnsi="Times New Roman" w:eastAsia="仿宋" w:cs="Times New Roman"/>
      <w:color w:val="000000"/>
      <w:sz w:val="18"/>
      <w:szCs w:val="18"/>
    </w:rPr>
  </w:style>
  <w:style w:type="character" w:customStyle="1" w:styleId="24">
    <w:name w:val="页脚 Char"/>
    <w:qFormat/>
    <w:uiPriority w:val="0"/>
    <w:rPr>
      <w:rFonts w:ascii="Times New Roman" w:hAnsi="Times New Roman" w:eastAsia="仿宋" w:cs="Times New Roman"/>
      <w:color w:val="000000"/>
      <w:sz w:val="18"/>
      <w:szCs w:val="18"/>
    </w:rPr>
  </w:style>
  <w:style w:type="paragraph" w:customStyle="1" w:styleId="25">
    <w:name w:val="Char Char Char"/>
    <w:basedOn w:val="1"/>
    <w:qFormat/>
    <w:uiPriority w:val="0"/>
    <w:pPr>
      <w:widowControl/>
      <w:spacing w:after="160" w:line="240" w:lineRule="exact"/>
      <w:jc w:val="left"/>
    </w:pPr>
    <w:rPr>
      <w:rFonts w:ascii="Verdana" w:hAnsi="Verdana" w:eastAsia="仿宋_GB2312"/>
      <w:color w:val="auto"/>
      <w:kern w:val="0"/>
      <w:sz w:val="24"/>
      <w:szCs w:val="20"/>
      <w:lang w:eastAsia="en-US"/>
    </w:rPr>
  </w:style>
  <w:style w:type="paragraph" w:customStyle="1" w:styleId="26">
    <w:name w:val="_Style 9"/>
    <w:basedOn w:val="3"/>
    <w:next w:val="2"/>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36</Pages>
  <Words>3248</Words>
  <Characters>18515</Characters>
  <Lines>154</Lines>
  <Paragraphs>43</Paragraphs>
  <TotalTime>8</TotalTime>
  <ScaleCrop>false</ScaleCrop>
  <LinksUpToDate>false</LinksUpToDate>
  <CharactersWithSpaces>21720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2023-08-27T00:32:00Z</dcterms:created>
  <dc:creator>微软用户</dc:creator>
  <cp:lastModifiedBy>user</cp:lastModifiedBy>
  <cp:lastPrinted>2023-09-01T01:36:00Z</cp:lastPrinted>
  <dcterms:modified xsi:type="dcterms:W3CDTF">2023-09-04T09:55:10Z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48C6CA3ECA024B46B64F4C8DC62080AF</vt:lpwstr>
  </property>
</Properties>
</file>