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 w:val="44"/>
          <w:szCs w:val="44"/>
          <w:lang w:eastAsia="zh-Hans"/>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省级</w:t>
      </w:r>
      <w:r>
        <w:rPr>
          <w:rFonts w:hint="eastAsia" w:ascii="Times New Roman" w:hAnsi="Times New Roman" w:eastAsia="方正小标宋简体" w:cs="方正小标宋简体"/>
          <w:sz w:val="44"/>
          <w:szCs w:val="44"/>
          <w:lang w:eastAsia="zh-Hans"/>
        </w:rPr>
        <w:t>特殊教育教师教学基本功</w:t>
      </w:r>
      <w:r>
        <w:rPr>
          <w:rFonts w:hint="eastAsia" w:ascii="Times New Roman" w:hAnsi="Times New Roman" w:eastAsia="方正小标宋简体" w:cs="方正小标宋简体"/>
          <w:sz w:val="44"/>
          <w:szCs w:val="44"/>
          <w:lang w:eastAsia="zh-CN"/>
        </w:rPr>
        <w:t>典型</w:t>
      </w:r>
      <w:r>
        <w:rPr>
          <w:rFonts w:hint="eastAsia" w:ascii="Times New Roman" w:hAnsi="Times New Roman" w:eastAsia="方正小标宋简体" w:cs="方正小标宋简体"/>
          <w:sz w:val="44"/>
          <w:szCs w:val="44"/>
        </w:rPr>
        <w:t>案例</w:t>
      </w:r>
      <w:r>
        <w:rPr>
          <w:rFonts w:hint="eastAsia" w:ascii="Times New Roman" w:hAnsi="Times New Roman" w:eastAsia="方正小标宋简体" w:cs="方正小标宋简体"/>
          <w:sz w:val="44"/>
          <w:szCs w:val="44"/>
          <w:lang w:eastAsia="zh-CN"/>
        </w:rPr>
        <w:t>名单</w:t>
      </w:r>
    </w:p>
    <w:p>
      <w:pPr>
        <w:keepNext w:val="0"/>
        <w:keepLines w:val="0"/>
        <w:pageBreakBefore w:val="0"/>
        <w:widowControl w:val="0"/>
        <w:kinsoku/>
        <w:wordWrap/>
        <w:overflowPunct/>
        <w:topLinePunct w:val="0"/>
        <w:autoSpaceDE/>
        <w:autoSpaceDN/>
        <w:bidi w:val="0"/>
        <w:adjustRightInd w:val="0"/>
        <w:snapToGrid w:val="0"/>
        <w:spacing w:line="600" w:lineRule="exact"/>
        <w:ind w:firstLine="1264" w:firstLineChars="400"/>
        <w:textAlignment w:val="auto"/>
        <w:rPr>
          <w:rFonts w:ascii="Times New Roman" w:hAnsi="Times New Roman" w:eastAsia="仿宋_GB2312" w:cs="仿宋_GB2312"/>
          <w:kern w:val="0"/>
          <w:sz w:val="32"/>
          <w:szCs w:val="32"/>
        </w:rPr>
      </w:pPr>
    </w:p>
    <w:tbl>
      <w:tblPr>
        <w:tblStyle w:val="7"/>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591"/>
        <w:gridCol w:w="3301"/>
        <w:gridCol w:w="2348"/>
        <w:gridCol w:w="1708"/>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10"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序号</w:t>
            </w:r>
          </w:p>
        </w:tc>
        <w:tc>
          <w:tcPr>
            <w:tcW w:w="599"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lang w:eastAsia="zh-Hans"/>
              </w:rPr>
              <w:t>教师</w:t>
            </w:r>
            <w:r>
              <w:rPr>
                <w:rFonts w:ascii="Times New Roman" w:hAnsi="Times New Roman" w:eastAsia="宋体" w:cs="宋体"/>
                <w:b/>
                <w:bCs/>
                <w:kern w:val="0"/>
                <w:sz w:val="28"/>
                <w:szCs w:val="28"/>
              </w:rPr>
              <w:t>姓名</w:t>
            </w:r>
          </w:p>
        </w:tc>
        <w:tc>
          <w:tcPr>
            <w:tcW w:w="1243"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所在单位</w:t>
            </w:r>
          </w:p>
        </w:tc>
        <w:tc>
          <w:tcPr>
            <w:tcW w:w="884"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教师</w:t>
            </w:r>
          </w:p>
          <w:p>
            <w:pPr>
              <w:adjustRightInd w:val="0"/>
              <w:snapToGrid w:val="0"/>
              <w:spacing w:line="360" w:lineRule="exact"/>
              <w:jc w:val="center"/>
              <w:rPr>
                <w:rFonts w:ascii="Times New Roman" w:hAnsi="Times New Roman" w:eastAsia="宋体" w:cs="宋体"/>
                <w:b/>
                <w:bCs/>
                <w:kern w:val="0"/>
                <w:sz w:val="28"/>
                <w:szCs w:val="28"/>
                <w:lang w:eastAsia="zh-Hans"/>
              </w:rPr>
            </w:pPr>
            <w:r>
              <w:rPr>
                <w:rFonts w:hint="eastAsia" w:ascii="Times New Roman" w:hAnsi="Times New Roman" w:eastAsia="宋体" w:cs="宋体"/>
                <w:b/>
                <w:bCs/>
                <w:kern w:val="0"/>
                <w:sz w:val="28"/>
                <w:szCs w:val="28"/>
              </w:rPr>
              <w:t>岗位类型</w:t>
            </w:r>
          </w:p>
        </w:tc>
        <w:tc>
          <w:tcPr>
            <w:tcW w:w="643"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所教学科</w:t>
            </w:r>
          </w:p>
        </w:tc>
        <w:tc>
          <w:tcPr>
            <w:tcW w:w="1318" w:type="pct"/>
            <w:noWrap w:val="0"/>
            <w:vAlign w:val="center"/>
          </w:tcPr>
          <w:p>
            <w:pPr>
              <w:adjustRightInd w:val="0"/>
              <w:snapToGrid w:val="0"/>
              <w:spacing w:line="36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陈净华</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泉州市特殊教育学校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盲校教师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《父爱之舟》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余秀玉</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三明市特殊教育学校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盲校教师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《坐井观天》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叶琅</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福州市盲校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盲校教师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《海底世界》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饶媛萍</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晋江市特殊教育学校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聋校教师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《董存瑞舍身炸暗堡》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杨帆</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福州市聋哑学校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聋校教师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en-US" w:bidi="ar-SA"/>
              </w:rPr>
              <w:t>数学</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《认识长度单位——厘米》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林妍莉</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厦门市特殊教育学校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聋校教师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数学</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《一元一次不等式的应用》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苏雅婷</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厦门市思明区特殊教育学校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生活语文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《一次比一次有进步》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林楚楚</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福州市仓山区培智学校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en-US"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生活语文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《骆驼和羊》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en-US" w:bidi="ar-SA"/>
              </w:rPr>
              <w:t>潘巧莉</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en-US" w:bidi="ar-SA"/>
              </w:rPr>
              <w:t>永安市特殊教育学校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生活语文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《好朋友一起玩》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张丽思</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厦门市海沧区晨昕学校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生活语文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《寻找春天》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王碧莲</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晋江市特殊教育学校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唱游与律动</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《小小工匠》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杨贵茹</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厦门市嘉禾学校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培智学校教师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生活适应</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《注意饮食安全》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许佳欣</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晋江市特殊教育学校</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en-US" w:bidi="ar-SA"/>
              </w:rPr>
            </w:pPr>
            <w:r>
              <w:rPr>
                <w:rFonts w:hint="eastAsia" w:ascii="宋体" w:hAnsi="宋体" w:eastAsia="宋体" w:cs="宋体"/>
                <w:spacing w:val="9"/>
                <w:kern w:val="2"/>
                <w:sz w:val="24"/>
                <w:szCs w:val="24"/>
                <w:lang w:val="en-US" w:eastAsia="zh-CN" w:bidi="ar-SA"/>
              </w:rPr>
              <w:t>孤独症学校部教师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生活语文</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《葡萄沟》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1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59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蔡晓敏</w:t>
            </w:r>
          </w:p>
        </w:tc>
        <w:tc>
          <w:tcPr>
            <w:tcW w:w="12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厦门市特殊教育学校</w:t>
            </w:r>
          </w:p>
        </w:tc>
        <w:tc>
          <w:tcPr>
            <w:tcW w:w="8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孤独症教学部教师</w:t>
            </w:r>
          </w:p>
        </w:tc>
        <w:tc>
          <w:tcPr>
            <w:tcW w:w="6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唱游与律动</w:t>
            </w:r>
          </w:p>
        </w:tc>
        <w:tc>
          <w:tcPr>
            <w:tcW w:w="13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《一起郊游吧》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0" w:type="pct"/>
            <w:noWrap w:val="0"/>
            <w:vAlign w:val="center"/>
          </w:tcPr>
          <w:p>
            <w:pPr>
              <w:keepNext w:val="0"/>
              <w:keepLines w:val="0"/>
              <w:pageBreakBefore w:val="0"/>
              <w:wordWrap/>
              <w:overflowPunct/>
              <w:topLinePunct w:val="0"/>
              <w:bidi w:val="0"/>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59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赖玉娜</w:t>
            </w:r>
          </w:p>
        </w:tc>
        <w:tc>
          <w:tcPr>
            <w:tcW w:w="12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晋江市内坑镇三民中心小学</w:t>
            </w:r>
          </w:p>
        </w:tc>
        <w:tc>
          <w:tcPr>
            <w:tcW w:w="88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附设特教班教师</w:t>
            </w:r>
          </w:p>
        </w:tc>
        <w:tc>
          <w:tcPr>
            <w:tcW w:w="643"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唱游与律动</w:t>
            </w:r>
          </w:p>
        </w:tc>
        <w:tc>
          <w:tcPr>
            <w:tcW w:w="131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both"/>
              <w:textAlignment w:val="baseline"/>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《小青蛙找家》</w:t>
            </w:r>
          </w:p>
        </w:tc>
      </w:tr>
    </w:tbl>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00" w:lineRule="exact"/>
        <w:ind w:left="4800" w:hanging="4740" w:hangingChars="1500"/>
        <w:jc w:val="left"/>
        <w:rPr>
          <w:rFonts w:hint="eastAsia" w:ascii="Times New Roman" w:hAnsi="Times New Roman" w:eastAsia="黑体" w:cs="黑体"/>
          <w:sz w:val="32"/>
          <w:szCs w:val="32"/>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lang w:eastAsia="zh-CN"/>
        </w:rPr>
      </w:pPr>
    </w:p>
    <w:p>
      <w:pPr>
        <w:adjustRightInd w:val="0"/>
        <w:snapToGrid w:val="0"/>
        <w:spacing w:line="480" w:lineRule="exact"/>
        <w:ind w:left="4800" w:hanging="4740" w:hangingChars="1500"/>
        <w:jc w:val="left"/>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pPr>
        <w:adjustRightInd w:val="0"/>
        <w:snapToGrid w:val="0"/>
        <w:spacing w:line="400" w:lineRule="exact"/>
        <w:ind w:left="4800" w:hanging="4740" w:hangingChars="1500"/>
        <w:jc w:val="left"/>
        <w:rPr>
          <w:rFonts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省级</w:t>
      </w:r>
      <w:r>
        <w:rPr>
          <w:rFonts w:hint="eastAsia" w:ascii="Times New Roman" w:hAnsi="Times New Roman" w:eastAsia="方正小标宋简体" w:cs="方正小标宋简体"/>
          <w:sz w:val="44"/>
          <w:szCs w:val="44"/>
          <w:lang w:eastAsia="zh-Hans"/>
        </w:rPr>
        <w:t>融合教育典型案例</w:t>
      </w:r>
      <w:r>
        <w:rPr>
          <w:rFonts w:hint="eastAsia" w:ascii="Times New Roman" w:hAnsi="Times New Roman" w:eastAsia="方正小标宋简体" w:cs="方正小标宋简体"/>
          <w:sz w:val="44"/>
          <w:szCs w:val="44"/>
          <w:lang w:eastAsia="zh-CN"/>
        </w:rPr>
        <w:t>名单</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宋体" w:cs="Times New Roman"/>
          <w:sz w:val="21"/>
          <w:szCs w:val="2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6512"/>
        <w:gridCol w:w="1764"/>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873" w:type="dxa"/>
            <w:noWrap w:val="0"/>
            <w:vAlign w:val="center"/>
          </w:tcPr>
          <w:p>
            <w:pPr>
              <w:adjustRightInd w:val="0"/>
              <w:snapToGrid w:val="0"/>
              <w:spacing w:line="40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序号</w:t>
            </w:r>
          </w:p>
        </w:tc>
        <w:tc>
          <w:tcPr>
            <w:tcW w:w="6666" w:type="dxa"/>
            <w:noWrap w:val="0"/>
            <w:vAlign w:val="center"/>
          </w:tcPr>
          <w:p>
            <w:pPr>
              <w:adjustRightInd w:val="0"/>
              <w:snapToGrid w:val="0"/>
              <w:spacing w:line="40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案例名称</w:t>
            </w:r>
          </w:p>
        </w:tc>
        <w:tc>
          <w:tcPr>
            <w:tcW w:w="1801" w:type="dxa"/>
            <w:noWrap w:val="0"/>
            <w:vAlign w:val="center"/>
          </w:tcPr>
          <w:p>
            <w:pPr>
              <w:adjustRightInd w:val="0"/>
              <w:snapToGrid w:val="0"/>
              <w:spacing w:line="400" w:lineRule="exact"/>
              <w:jc w:val="center"/>
              <w:rPr>
                <w:rFonts w:ascii="Times New Roman" w:hAnsi="Times New Roman" w:eastAsia="宋体" w:cs="宋体"/>
                <w:b/>
                <w:bCs/>
                <w:kern w:val="0"/>
                <w:sz w:val="28"/>
                <w:szCs w:val="28"/>
              </w:rPr>
            </w:pPr>
            <w:r>
              <w:rPr>
                <w:rFonts w:hint="eastAsia" w:ascii="Times New Roman" w:hAnsi="Times New Roman" w:eastAsia="宋体" w:cs="宋体"/>
                <w:b/>
                <w:bCs/>
                <w:kern w:val="0"/>
                <w:sz w:val="28"/>
                <w:szCs w:val="28"/>
              </w:rPr>
              <w:t>负责人姓名</w:t>
            </w:r>
          </w:p>
        </w:tc>
        <w:tc>
          <w:tcPr>
            <w:tcW w:w="4396" w:type="dxa"/>
            <w:noWrap w:val="0"/>
            <w:vAlign w:val="center"/>
          </w:tcPr>
          <w:p>
            <w:pPr>
              <w:adjustRightInd w:val="0"/>
              <w:snapToGrid w:val="0"/>
              <w:spacing w:line="400" w:lineRule="exact"/>
              <w:jc w:val="center"/>
              <w:rPr>
                <w:rFonts w:ascii="Times New Roman" w:hAnsi="Times New Roman" w:eastAsia="宋体" w:cs="宋体"/>
                <w:b/>
                <w:bCs/>
                <w:kern w:val="0"/>
                <w:sz w:val="28"/>
                <w:szCs w:val="28"/>
                <w:lang w:eastAsia="zh-Hans"/>
              </w:rPr>
            </w:pPr>
            <w:r>
              <w:rPr>
                <w:rFonts w:hint="eastAsia" w:ascii="Times New Roman" w:hAnsi="Times New Roman" w:eastAsia="宋体" w:cs="宋体"/>
                <w:b/>
                <w:bCs/>
                <w:kern w:val="0"/>
                <w:sz w:val="28"/>
                <w:szCs w:val="28"/>
              </w:rPr>
              <w:t>负责人所在</w:t>
            </w:r>
            <w:r>
              <w:rPr>
                <w:rFonts w:hint="eastAsia" w:ascii="Times New Roman" w:hAnsi="Times New Roman" w:eastAsia="宋体" w:cs="宋体"/>
                <w:b/>
                <w:bCs/>
                <w:kern w:val="0"/>
                <w:sz w:val="28"/>
                <w:szCs w:val="28"/>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3"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1</w:t>
            </w:r>
          </w:p>
        </w:tc>
        <w:tc>
          <w:tcPr>
            <w:tcW w:w="66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《小步走 大智慧——表演游戏促特需幼儿语言、社会化发展的实践案例》</w:t>
            </w:r>
          </w:p>
        </w:tc>
        <w:tc>
          <w:tcPr>
            <w:tcW w:w="180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  玲</w:t>
            </w:r>
          </w:p>
        </w:tc>
        <w:tc>
          <w:tcPr>
            <w:tcW w:w="439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福州市船政幼儿园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rPr>
            </w:pPr>
          </w:p>
        </w:tc>
        <w:tc>
          <w:tcPr>
            <w:tcW w:w="66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kern w:val="0"/>
                <w:sz w:val="24"/>
                <w:szCs w:val="24"/>
              </w:rPr>
            </w:pPr>
          </w:p>
        </w:tc>
        <w:tc>
          <w:tcPr>
            <w:tcW w:w="180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kern w:val="0"/>
                <w:sz w:val="24"/>
                <w:szCs w:val="24"/>
              </w:rPr>
            </w:pPr>
          </w:p>
        </w:tc>
        <w:tc>
          <w:tcPr>
            <w:tcW w:w="439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3"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2</w:t>
            </w:r>
          </w:p>
        </w:tc>
        <w:tc>
          <w:tcPr>
            <w:tcW w:w="66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《体育促融 无痕向美：乡村小学“适宜融合”新模式建构》</w:t>
            </w:r>
          </w:p>
        </w:tc>
        <w:tc>
          <w:tcPr>
            <w:tcW w:w="180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连凤彬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黄锦镕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吴华双</w:t>
            </w:r>
          </w:p>
        </w:tc>
        <w:tc>
          <w:tcPr>
            <w:tcW w:w="439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晋江市陈埭镇海美中心小学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rPr>
            </w:pPr>
          </w:p>
        </w:tc>
        <w:tc>
          <w:tcPr>
            <w:tcW w:w="66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kern w:val="0"/>
                <w:sz w:val="24"/>
                <w:szCs w:val="24"/>
              </w:rPr>
            </w:pPr>
          </w:p>
        </w:tc>
        <w:tc>
          <w:tcPr>
            <w:tcW w:w="180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kern w:val="0"/>
                <w:sz w:val="24"/>
                <w:szCs w:val="24"/>
              </w:rPr>
            </w:pPr>
          </w:p>
        </w:tc>
        <w:tc>
          <w:tcPr>
            <w:tcW w:w="439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3</w:t>
            </w:r>
          </w:p>
        </w:tc>
        <w:tc>
          <w:tcPr>
            <w:tcW w:w="6666"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《深耕适切支持 推进适宜融合——学前融合支持系统的构建与实施》</w:t>
            </w:r>
          </w:p>
        </w:tc>
        <w:tc>
          <w:tcPr>
            <w:tcW w:w="1801"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蔡景灿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吴雅雅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郭玲玲</w:t>
            </w:r>
          </w:p>
        </w:tc>
        <w:tc>
          <w:tcPr>
            <w:tcW w:w="4396"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泉州市特殊教育学校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泉州市特殊教育学校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泉州市培蕾实验幼儿园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4</w:t>
            </w:r>
          </w:p>
        </w:tc>
        <w:tc>
          <w:tcPr>
            <w:tcW w:w="6666"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《儿童友好 融爱于行》</w:t>
            </w:r>
          </w:p>
        </w:tc>
        <w:tc>
          <w:tcPr>
            <w:tcW w:w="1801"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林  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邵  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龚美兰</w:t>
            </w:r>
          </w:p>
        </w:tc>
        <w:tc>
          <w:tcPr>
            <w:tcW w:w="4396"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福州市马尾实验幼儿园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5</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《“星星”向融 有爱无碍》</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黄  权</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林立芳</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林听心</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福州教育学院附属第四小学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6</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《从“逃兵”到“尖兵”——普特幼儿需求下的融合教育师资双向滋养成长模式》</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李素霞</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李玉影</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林  玲</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厦门市海沧区晨熹幼儿园</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厦门市教育科学研究院</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厦门市海沧区晨熹幼儿园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7</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《三分·三策·三评——以小涛为例的成长型思维导向下促进特需儿童随班就读效能化发展的应用案例》</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张  蓉</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吴惠琼</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林丽韫</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厦门市高殿中心小学</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厦门市高殿中心小学</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厦门市湖里区教师进修学校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8</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《生态系统理论视角下的大融合教育——以厦门市民立第二小学融合教育的实践探索为例》</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江叶萍</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林巧霞</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厦门市民立第二小学</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厦门市民立第二小学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9</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《军校协同 共筑融合教育之路》</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黄诸敬</w:t>
            </w:r>
          </w:p>
          <w:p>
            <w:pPr>
              <w:keepNext w:val="0"/>
              <w:keepLines w:val="0"/>
              <w:pageBreakBefore w:val="0"/>
              <w:kinsoku/>
              <w:wordWrap/>
              <w:overflowPunct/>
              <w:topLinePunct w:val="0"/>
              <w:autoSpaceDE/>
              <w:autoSpaceDN/>
              <w:bidi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薛  翔</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陈森萍</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晋江市金井镇围江小学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10</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《星芒入海 善念花开——融合教育班级管理》</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吴婉辉</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翁晓兰</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董  铃</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福州第十六中学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11</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《阶梯式“四步走” 给小鑫搭建成长之路》</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黄敏泉</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杨伊雯</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泉州市第二实验小学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12</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《悦·纳共融：农村学前融合教育之路探索》</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林真真</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俞  芳</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泉州台商投资区第七幼儿园</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泉州市教育督导评估监测中心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13</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《“三时·三式”理念下大班文化环境创设实践的案例分析》</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邓丹妮</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褚晓瑜</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林珊珊</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泉州市刺桐幼儿园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14</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《不啻微光 造炬成阳——厦门市同安区教师进修学校附属幼儿园融合教育班级环境创设实践》</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陈达佳</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陈成展</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梁媛玲</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厦门市同安区教师进修学校附属幼儿园</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厦门市同安区教师进修学校</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厦门市同安区教师进修学校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15</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《发展性障碍儿童融合教育实践与思考——以三明市特殊教育学校融合教育试点为例》</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周  玥</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张  虹</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赵丽琴</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三明市特殊教育学校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16</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《构建支持体系 提升特需儿童课堂适应能力》</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陈海峰</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章小晶</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林丽鹏</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晋江市安海镇水头小学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17</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《“走出去”的“大”融合》</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庄玉婷</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郑晓玲</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  鹏</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厦门市海沧区天心岛小学</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厦门市海沧区教师进修</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厦门市海沧区天心岛小学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18</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《融合有爱 悦见成长——语言发育迟缓儿童融合教育的探索与实践》</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林秀金</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林艺娟</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张跃飞</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泉州市晋光小学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19</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《让星光灿烂，与融合同行》</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黄晓琴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陈玉梅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杨丽</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宁德市蕉城区特殊教育校</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宁德市蕉城区实验幼儿园</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宁德市蕉城区实验幼儿园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3"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w:t>
            </w:r>
          </w:p>
        </w:tc>
        <w:tc>
          <w:tcPr>
            <w:tcW w:w="666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《五维联动 缕缕微光渐斑斓》</w:t>
            </w:r>
          </w:p>
        </w:tc>
        <w:tc>
          <w:tcPr>
            <w:tcW w:w="1801" w:type="dxa"/>
            <w:noWrap w:val="0"/>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陈  婷</w:t>
            </w:r>
          </w:p>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郑晓玲</w:t>
            </w:r>
          </w:p>
        </w:tc>
        <w:tc>
          <w:tcPr>
            <w:tcW w:w="4396" w:type="dxa"/>
            <w:noWrap w:val="0"/>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厦门双十中学海沧附属学校</w:t>
            </w:r>
          </w:p>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厦门市海沧区教师进修学校</w:t>
            </w:r>
          </w:p>
        </w:tc>
      </w:tr>
    </w:tbl>
    <w:p>
      <w:pPr>
        <w:widowControl w:val="0"/>
        <w:spacing w:after="120" w:line="600" w:lineRule="exact"/>
        <w:ind w:left="0" w:leftChars="0" w:firstLine="0" w:firstLineChars="0"/>
        <w:jc w:val="both"/>
        <w:rPr>
          <w:rFonts w:hint="default" w:ascii="Calibri" w:hAnsi="Calibri" w:eastAsia="宋体" w:cs="宋体"/>
          <w:color w:val="000000"/>
          <w:kern w:val="0"/>
          <w:sz w:val="20"/>
          <w:szCs w:val="20"/>
          <w:lang w:val="en-US" w:eastAsia="zh-CN" w:bidi="ar-SA"/>
        </w:rPr>
      </w:pPr>
    </w:p>
    <w:p>
      <w:bookmarkStart w:id="0" w:name="_GoBack"/>
      <w:bookmarkEnd w:id="0"/>
    </w:p>
    <w:sectPr>
      <w:headerReference r:id="rId4" w:type="first"/>
      <w:footerReference r:id="rId6" w:type="first"/>
      <w:headerReference r:id="rId3" w:type="default"/>
      <w:footerReference r:id="rId5" w:type="default"/>
      <w:pgSz w:w="16838" w:h="11906" w:orient="landscape"/>
      <w:pgMar w:top="1587" w:right="1928" w:bottom="1474" w:left="1701" w:header="851" w:footer="1134" w:gutter="0"/>
      <w:pgBorders>
        <w:top w:val="none" w:sz="0" w:space="0"/>
        <w:left w:val="none" w:sz="0" w:space="0"/>
        <w:bottom w:val="none" w:sz="0" w:space="0"/>
        <w:right w:val="none" w:sz="0" w:space="0"/>
      </w:pgBorders>
      <w:pgNumType w:fmt="decimal" w:start="3"/>
      <w:cols w:space="72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200" w:firstLine="360"/>
      <w:rPr>
        <w:rFonts w:ascii="宋体" w:hAns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7F03B"/>
    <w:rsid w:val="2BFFAC5E"/>
    <w:rsid w:val="3FB50D9D"/>
    <w:rsid w:val="6EFE034D"/>
    <w:rsid w:val="6F5A65FF"/>
    <w:rsid w:val="6FF366DE"/>
    <w:rsid w:val="6FFE0FB6"/>
    <w:rsid w:val="7777F03B"/>
    <w:rsid w:val="7BFFB08D"/>
    <w:rsid w:val="7D8F615D"/>
    <w:rsid w:val="7ECEEFC4"/>
    <w:rsid w:val="7F9B0F16"/>
    <w:rsid w:val="7FEF4592"/>
    <w:rsid w:val="7FFD6441"/>
    <w:rsid w:val="979603E5"/>
    <w:rsid w:val="9954C57B"/>
    <w:rsid w:val="9EB75AF8"/>
    <w:rsid w:val="BB1B1065"/>
    <w:rsid w:val="CF234D90"/>
    <w:rsid w:val="CFDF014F"/>
    <w:rsid w:val="CFEB4BEB"/>
    <w:rsid w:val="D75FD304"/>
    <w:rsid w:val="D97E3548"/>
    <w:rsid w:val="DEFBCF26"/>
    <w:rsid w:val="DFFFF8C2"/>
    <w:rsid w:val="E6A657C0"/>
    <w:rsid w:val="EB771FDD"/>
    <w:rsid w:val="ECFFA7B2"/>
    <w:rsid w:val="EEEB07FD"/>
    <w:rsid w:val="FBBFD9ED"/>
    <w:rsid w:val="FF27CABF"/>
    <w:rsid w:val="FF3FB61D"/>
    <w:rsid w:val="FFF9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1"/>
    <w:next w:val="1"/>
    <w:qFormat/>
    <w:uiPriority w:val="9"/>
    <w:pPr>
      <w:widowControl w:val="0"/>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 w:cs="Times New Roman"/>
      <w:color w:val="000000"/>
      <w:kern w:val="2"/>
      <w:sz w:val="18"/>
      <w:szCs w:val="18"/>
      <w:lang w:val="en-US" w:eastAsia="zh-CN" w:bidi="ar-SA"/>
    </w:rPr>
  </w:style>
  <w:style w:type="paragraph" w:styleId="4">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仿宋" w:cs="Times New Roman"/>
      <w:color w:val="000000"/>
      <w:kern w:val="2"/>
      <w:sz w:val="18"/>
      <w:szCs w:val="18"/>
      <w:lang w:val="en-US" w:eastAsia="zh-CN" w:bidi="ar-SA"/>
    </w:rPr>
  </w:style>
  <w:style w:type="paragraph" w:styleId="5">
    <w:name w:val="Body Text First Indent"/>
    <w:unhideWhenUsed/>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paragraph" w:styleId="10">
    <w:name w:val="List Paragraph"/>
    <w:qFormat/>
    <w:uiPriority w:val="34"/>
    <w:pPr>
      <w:widowControl w:val="0"/>
      <w:suppressAutoHyphens/>
      <w:ind w:firstLine="420" w:firstLineChars="200"/>
      <w:jc w:val="both"/>
    </w:pPr>
    <w:rPr>
      <w:rFonts w:ascii="Calibri" w:hAnsi="Calibri"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2024-12-19T18:19:00Z</dcterms:created>
  <dc:creator>魏建龙</dc:creator>
  <cp:lastModifiedBy>Administrator</cp:lastModifiedBy>
  <cp:lastPrinted>2025-04-21T11:12:00Z</cp:lastPrinted>
  <dcterms:modified xsi:type="dcterms:W3CDTF">2025-05-06T02:34:42Z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23FB5D28E64744618B9C085313DF4749</vt:lpwstr>
  </property>
</Properties>
</file>