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32D07">
      <w:pPr>
        <w:pStyle w:val="3"/>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黑体" w:cs="Times New Roman"/>
          <w:color w:val="000000"/>
          <w:kern w:val="0"/>
          <w:sz w:val="32"/>
          <w:szCs w:val="32"/>
          <w:shd w:val="clear" w:color="auto" w:fill="FFFFFF"/>
          <w:lang w:val="en-US" w:eastAsia="zh-CN" w:bidi="ar-SA"/>
        </w:rPr>
      </w:pPr>
      <w:r>
        <w:rPr>
          <w:rFonts w:hint="eastAsia" w:ascii="Times New Roman" w:hAnsi="Times New Roman" w:eastAsia="黑体" w:cs="Times New Roman"/>
          <w:color w:val="000000"/>
          <w:kern w:val="0"/>
          <w:sz w:val="32"/>
          <w:szCs w:val="32"/>
          <w:shd w:val="clear" w:color="auto" w:fill="FFFFFF"/>
          <w:lang w:val="en-US" w:eastAsia="zh-CN" w:bidi="ar-SA"/>
        </w:rPr>
        <w:t>附件1</w:t>
      </w:r>
    </w:p>
    <w:p w14:paraId="3B970131">
      <w:pPr>
        <w:pStyle w:val="3"/>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color w:val="000000"/>
          <w:sz w:val="36"/>
          <w:szCs w:val="36"/>
          <w:highlight w:val="none"/>
          <w:shd w:val="clear" w:color="auto" w:fill="FFFFFF"/>
          <w:lang w:val="en-US" w:eastAsia="zh-CN"/>
        </w:rPr>
      </w:pPr>
      <w:r>
        <w:rPr>
          <w:rFonts w:hint="default" w:ascii="Times New Roman" w:hAnsi="Times New Roman" w:eastAsia="方正小标宋_GBK" w:cs="Times New Roman"/>
          <w:b w:val="0"/>
          <w:bCs w:val="0"/>
          <w:color w:val="000000"/>
          <w:sz w:val="36"/>
          <w:szCs w:val="36"/>
          <w:highlight w:val="none"/>
          <w:shd w:val="clear" w:color="auto" w:fill="FFFFFF"/>
          <w:lang w:val="en-US" w:eastAsia="zh-CN"/>
        </w:rPr>
        <w:t>2026年福建省职业院校专业人才培养方案检查评价指标</w:t>
      </w:r>
    </w:p>
    <w:tbl>
      <w:tblPr>
        <w:tblStyle w:val="7"/>
        <w:tblW w:w="140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61"/>
        <w:gridCol w:w="1298"/>
        <w:gridCol w:w="11699"/>
      </w:tblGrid>
      <w:tr w14:paraId="13131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blHeader/>
          <w:jc w:val="center"/>
        </w:trPr>
        <w:tc>
          <w:tcPr>
            <w:tcW w:w="1061" w:type="dxa"/>
            <w:vMerge w:val="restart"/>
            <w:tcBorders>
              <w:top w:val="single" w:color="000000" w:sz="4" w:space="0"/>
              <w:left w:val="single" w:color="000000" w:sz="4" w:space="0"/>
              <w:bottom w:val="nil"/>
              <w:right w:val="single" w:color="000000" w:sz="4" w:space="0"/>
            </w:tcBorders>
            <w:noWrap w:val="0"/>
            <w:vAlign w:val="center"/>
          </w:tcPr>
          <w:p w14:paraId="3BECC96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b/>
                <w:bCs/>
                <w:i w:val="0"/>
                <w:iCs w:val="0"/>
                <w:color w:val="000000"/>
                <w:sz w:val="20"/>
                <w:szCs w:val="20"/>
                <w:u w:val="none"/>
              </w:rPr>
            </w:pPr>
            <w:r>
              <w:rPr>
                <w:rFonts w:hint="default" w:ascii="Times New Roman" w:hAnsi="Times New Roman" w:eastAsia="仿宋_GB2312" w:cs="Times New Roman"/>
                <w:b/>
                <w:bCs/>
                <w:i w:val="0"/>
                <w:iCs w:val="0"/>
                <w:color w:val="000000"/>
                <w:kern w:val="0"/>
                <w:sz w:val="20"/>
                <w:szCs w:val="20"/>
                <w:u w:val="none"/>
                <w:lang w:val="en-US" w:eastAsia="zh-CN" w:bidi="ar"/>
              </w:rPr>
              <w:t>一级指标</w:t>
            </w:r>
          </w:p>
        </w:tc>
        <w:tc>
          <w:tcPr>
            <w:tcW w:w="1298" w:type="dxa"/>
            <w:vMerge w:val="restart"/>
            <w:tcBorders>
              <w:top w:val="single" w:color="000000" w:sz="4" w:space="0"/>
              <w:left w:val="single" w:color="000000" w:sz="4" w:space="0"/>
              <w:bottom w:val="nil"/>
              <w:right w:val="single" w:color="000000" w:sz="4" w:space="0"/>
            </w:tcBorders>
            <w:noWrap w:val="0"/>
            <w:vAlign w:val="center"/>
          </w:tcPr>
          <w:p w14:paraId="1317CB7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b/>
                <w:bCs/>
                <w:i w:val="0"/>
                <w:iCs w:val="0"/>
                <w:color w:val="000000"/>
                <w:sz w:val="20"/>
                <w:szCs w:val="20"/>
                <w:u w:val="none"/>
              </w:rPr>
            </w:pPr>
            <w:r>
              <w:rPr>
                <w:rFonts w:hint="default" w:ascii="Times New Roman" w:hAnsi="Times New Roman" w:eastAsia="仿宋_GB2312" w:cs="Times New Roman"/>
                <w:b/>
                <w:bCs/>
                <w:i w:val="0"/>
                <w:iCs w:val="0"/>
                <w:color w:val="000000"/>
                <w:kern w:val="0"/>
                <w:sz w:val="20"/>
                <w:szCs w:val="20"/>
                <w:u w:val="none"/>
                <w:lang w:val="en-US" w:eastAsia="zh-CN" w:bidi="ar"/>
              </w:rPr>
              <w:t>二级指标</w:t>
            </w:r>
          </w:p>
        </w:tc>
        <w:tc>
          <w:tcPr>
            <w:tcW w:w="11699" w:type="dxa"/>
            <w:vMerge w:val="restart"/>
            <w:tcBorders>
              <w:top w:val="single" w:color="000000" w:sz="4" w:space="0"/>
              <w:left w:val="single" w:color="000000" w:sz="4" w:space="0"/>
              <w:bottom w:val="nil"/>
              <w:right w:val="single" w:color="000000" w:sz="4" w:space="0"/>
            </w:tcBorders>
            <w:noWrap w:val="0"/>
            <w:vAlign w:val="center"/>
          </w:tcPr>
          <w:p w14:paraId="4859C47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b/>
                <w:bCs/>
                <w:i w:val="0"/>
                <w:iCs w:val="0"/>
                <w:color w:val="000000"/>
                <w:sz w:val="20"/>
                <w:szCs w:val="20"/>
                <w:u w:val="none"/>
              </w:rPr>
            </w:pPr>
            <w:r>
              <w:rPr>
                <w:rFonts w:hint="default" w:ascii="Times New Roman" w:hAnsi="Times New Roman" w:eastAsia="仿宋_GB2312" w:cs="Times New Roman"/>
                <w:b/>
                <w:bCs/>
                <w:i w:val="0"/>
                <w:iCs w:val="0"/>
                <w:color w:val="000000"/>
                <w:kern w:val="0"/>
                <w:sz w:val="20"/>
                <w:szCs w:val="20"/>
                <w:u w:val="none"/>
                <w:lang w:val="en-US" w:eastAsia="zh-CN" w:bidi="ar"/>
              </w:rPr>
              <w:t>评价内容</w:t>
            </w:r>
          </w:p>
        </w:tc>
      </w:tr>
      <w:tr w14:paraId="17E1B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blHeader/>
          <w:jc w:val="center"/>
        </w:trPr>
        <w:tc>
          <w:tcPr>
            <w:tcW w:w="1061" w:type="dxa"/>
            <w:vMerge w:val="continue"/>
            <w:tcBorders>
              <w:top w:val="single" w:color="000000" w:sz="4" w:space="0"/>
              <w:left w:val="single" w:color="000000" w:sz="4" w:space="0"/>
              <w:bottom w:val="nil"/>
              <w:right w:val="single" w:color="000000" w:sz="4" w:space="0"/>
            </w:tcBorders>
            <w:noWrap w:val="0"/>
            <w:vAlign w:val="center"/>
          </w:tcPr>
          <w:p w14:paraId="100C3FFD">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top w:val="single" w:color="000000" w:sz="4" w:space="0"/>
              <w:left w:val="single" w:color="000000" w:sz="4" w:space="0"/>
              <w:bottom w:val="nil"/>
              <w:right w:val="single" w:color="000000" w:sz="4" w:space="0"/>
            </w:tcBorders>
            <w:noWrap w:val="0"/>
            <w:vAlign w:val="center"/>
          </w:tcPr>
          <w:p w14:paraId="77000978">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1699" w:type="dxa"/>
            <w:vMerge w:val="continue"/>
            <w:tcBorders>
              <w:top w:val="single" w:color="000000" w:sz="4" w:space="0"/>
              <w:left w:val="single" w:color="000000" w:sz="4" w:space="0"/>
              <w:bottom w:val="nil"/>
              <w:right w:val="single" w:color="000000" w:sz="4" w:space="0"/>
            </w:tcBorders>
            <w:noWrap w:val="0"/>
            <w:vAlign w:val="center"/>
          </w:tcPr>
          <w:p w14:paraId="6E0D830D">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r>
      <w:tr w14:paraId="4D88E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jc w:val="center"/>
        </w:trPr>
        <w:tc>
          <w:tcPr>
            <w:tcW w:w="1061" w:type="dxa"/>
            <w:vMerge w:val="restart"/>
            <w:tcBorders>
              <w:top w:val="single" w:color="000000" w:sz="4" w:space="0"/>
              <w:left w:val="single" w:color="000000" w:sz="4" w:space="0"/>
              <w:bottom w:val="single" w:color="000000" w:sz="4" w:space="0"/>
              <w:right w:val="single" w:color="000000" w:sz="4" w:space="0"/>
            </w:tcBorders>
            <w:noWrap w:val="0"/>
            <w:vAlign w:val="center"/>
          </w:tcPr>
          <w:p w14:paraId="469823F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b/>
                <w:bCs/>
                <w:i w:val="0"/>
                <w:iCs w:val="0"/>
                <w:color w:val="000000"/>
                <w:kern w:val="0"/>
                <w:sz w:val="20"/>
                <w:szCs w:val="20"/>
                <w:u w:val="none"/>
                <w:lang w:val="en-US" w:eastAsia="zh-CN" w:bidi="ar"/>
              </w:rPr>
            </w:pPr>
            <w:r>
              <w:rPr>
                <w:rFonts w:hint="default" w:ascii="Times New Roman" w:hAnsi="Times New Roman" w:eastAsia="仿宋_GB2312" w:cs="Times New Roman"/>
                <w:b/>
                <w:bCs/>
                <w:i w:val="0"/>
                <w:iCs w:val="0"/>
                <w:color w:val="000000"/>
                <w:kern w:val="0"/>
                <w:sz w:val="20"/>
                <w:szCs w:val="20"/>
                <w:u w:val="none"/>
                <w:lang w:val="en-US" w:eastAsia="zh-CN" w:bidi="ar"/>
              </w:rPr>
              <w:t>1.基本信息与职业面向</w:t>
            </w:r>
          </w:p>
          <w:p w14:paraId="7E6B6FD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b/>
                <w:bCs/>
                <w:i w:val="0"/>
                <w:iCs w:val="0"/>
                <w:color w:val="000000"/>
                <w:sz w:val="20"/>
                <w:szCs w:val="20"/>
                <w:u w:val="none"/>
              </w:rPr>
            </w:pPr>
            <w:r>
              <w:rPr>
                <w:rFonts w:hint="default" w:ascii="Times New Roman" w:hAnsi="Times New Roman" w:eastAsia="仿宋_GB2312" w:cs="Times New Roman"/>
                <w:b/>
                <w:bCs/>
                <w:i w:val="0"/>
                <w:iCs w:val="0"/>
                <w:color w:val="000000"/>
                <w:kern w:val="0"/>
                <w:sz w:val="20"/>
                <w:szCs w:val="20"/>
                <w:u w:val="none"/>
                <w:lang w:val="en-US" w:eastAsia="zh-CN" w:bidi="ar"/>
              </w:rPr>
              <w:t>（5分）</w:t>
            </w:r>
          </w:p>
        </w:tc>
        <w:tc>
          <w:tcPr>
            <w:tcW w:w="1298" w:type="dxa"/>
            <w:vMerge w:val="restart"/>
            <w:tcBorders>
              <w:top w:val="single" w:color="000000" w:sz="4" w:space="0"/>
              <w:left w:val="single" w:color="000000" w:sz="4" w:space="0"/>
              <w:bottom w:val="single" w:color="000000" w:sz="4" w:space="0"/>
              <w:right w:val="single" w:color="000000" w:sz="4" w:space="0"/>
            </w:tcBorders>
            <w:noWrap w:val="0"/>
            <w:vAlign w:val="center"/>
          </w:tcPr>
          <w:p w14:paraId="7940B5D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cs="Times New Roman"/>
              </w:rPr>
            </w:pPr>
            <w:r>
              <w:rPr>
                <w:rFonts w:hint="default" w:ascii="Times New Roman" w:hAnsi="Times New Roman" w:eastAsia="仿宋_GB2312" w:cs="Times New Roman"/>
                <w:i w:val="0"/>
                <w:iCs w:val="0"/>
                <w:color w:val="000000"/>
                <w:kern w:val="0"/>
                <w:sz w:val="20"/>
                <w:szCs w:val="20"/>
                <w:u w:val="none"/>
                <w:lang w:val="en-US" w:eastAsia="zh-CN" w:bidi="ar"/>
              </w:rPr>
              <w:t>1.1基本信息（见注）</w:t>
            </w: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5476E5C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①体例符合《关于组织做好职业院校专业人才培养方案制订与实施工作的通知》（教职成司函〔2019〕61号）文件要求。</w:t>
            </w:r>
          </w:p>
        </w:tc>
      </w:tr>
      <w:tr w14:paraId="1F90D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038D1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B7FC8E">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76A8F55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②专业名称及代码严格按照《职业教育专业目录（2021年）》（更新时间：2025年12月）规范表述。</w:t>
            </w:r>
          </w:p>
        </w:tc>
      </w:tr>
      <w:tr w14:paraId="61402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0E0C04">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037EFF">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7DC4EEB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lang w:val="en-US"/>
              </w:rPr>
            </w:pPr>
            <w:r>
              <w:rPr>
                <w:rFonts w:hint="default" w:ascii="Times New Roman" w:hAnsi="Times New Roman" w:eastAsia="仿宋_GB2312" w:cs="Times New Roman"/>
                <w:i w:val="0"/>
                <w:iCs w:val="0"/>
                <w:color w:val="000000"/>
                <w:kern w:val="0"/>
                <w:sz w:val="20"/>
                <w:szCs w:val="20"/>
                <w:u w:val="none"/>
                <w:lang w:val="en-US" w:eastAsia="zh-CN" w:bidi="ar"/>
              </w:rPr>
              <w:t>③有明确的入学要求。中职：初级中等学校毕业或具备同等学力；高职专科：中等职业学校毕业、普通高级中学毕业或具备同等学力；高职本科：中等职业学校毕业、普通高级中学毕业或具备同等学力。</w:t>
            </w:r>
          </w:p>
        </w:tc>
      </w:tr>
      <w:tr w14:paraId="05248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95DCF8">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F83001">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2DFE756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lang w:val="en-US"/>
              </w:rPr>
            </w:pPr>
            <w:r>
              <w:rPr>
                <w:rFonts w:hint="default" w:ascii="Times New Roman" w:hAnsi="Times New Roman" w:eastAsia="仿宋_GB2312" w:cs="Times New Roman"/>
                <w:i w:val="0"/>
                <w:iCs w:val="0"/>
                <w:color w:val="000000"/>
                <w:kern w:val="0"/>
                <w:sz w:val="20"/>
                <w:szCs w:val="20"/>
                <w:u w:val="none"/>
                <w:lang w:val="en-US" w:eastAsia="zh-CN" w:bidi="ar"/>
              </w:rPr>
              <w:t>④基本修业年限明确。中职：三年；高职专科：三年；高职本科：四年。</w:t>
            </w:r>
          </w:p>
        </w:tc>
      </w:tr>
      <w:tr w14:paraId="31E53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505AF4">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0854C00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1.2职业面向</w:t>
            </w:r>
          </w:p>
          <w:p w14:paraId="2D8B88C9">
            <w:pPr>
              <w:pStyle w:val="3"/>
              <w:keepNext w:val="0"/>
              <w:keepLines w:val="0"/>
              <w:pageBreakBefore w:val="0"/>
              <w:kinsoku/>
              <w:wordWrap/>
              <w:overflowPunct/>
              <w:topLinePunct w:val="0"/>
              <w:autoSpaceDE/>
              <w:autoSpaceDN/>
              <w:bidi w:val="0"/>
              <w:adjustRightInd/>
              <w:snapToGrid w:val="0"/>
              <w:jc w:val="center"/>
              <w:rPr>
                <w:rFonts w:hint="default" w:ascii="Times New Roman" w:hAnsi="Times New Roman" w:cs="Times New Roman"/>
              </w:rPr>
            </w:pPr>
            <w:r>
              <w:rPr>
                <w:rFonts w:hint="default" w:ascii="Times New Roman" w:hAnsi="Times New Roman" w:eastAsia="仿宋_GB2312" w:cs="Times New Roman"/>
                <w:i w:val="0"/>
                <w:iCs w:val="0"/>
                <w:color w:val="000000"/>
                <w:kern w:val="0"/>
                <w:sz w:val="20"/>
                <w:szCs w:val="20"/>
                <w:u w:val="none"/>
                <w:lang w:val="en-US" w:eastAsia="zh-CN" w:bidi="ar"/>
              </w:rPr>
              <w:t>（5分）</w:t>
            </w: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27C166E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本专业所属专业大类（代码）、所属专业类（代码）、对应行业（代码）、主要职业类别（代码）、主要岗位（群）或技术领域、职业类证书举例正确、合理，并以表格形式呈现。（5分）</w:t>
            </w:r>
          </w:p>
        </w:tc>
      </w:tr>
      <w:tr w14:paraId="52049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1061" w:type="dxa"/>
            <w:vMerge w:val="restart"/>
            <w:tcBorders>
              <w:top w:val="single" w:color="000000" w:sz="4" w:space="0"/>
              <w:left w:val="single" w:color="000000" w:sz="4" w:space="0"/>
              <w:right w:val="single" w:color="000000" w:sz="4" w:space="0"/>
            </w:tcBorders>
            <w:noWrap w:val="0"/>
            <w:vAlign w:val="center"/>
          </w:tcPr>
          <w:p w14:paraId="5E98A60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b/>
                <w:bCs/>
                <w:i w:val="0"/>
                <w:iCs w:val="0"/>
                <w:color w:val="000000"/>
                <w:sz w:val="20"/>
                <w:szCs w:val="20"/>
                <w:u w:val="none"/>
              </w:rPr>
            </w:pPr>
            <w:r>
              <w:rPr>
                <w:rFonts w:hint="default" w:ascii="Times New Roman" w:hAnsi="Times New Roman" w:eastAsia="仿宋_GB2312" w:cs="Times New Roman"/>
                <w:b/>
                <w:bCs/>
                <w:i w:val="0"/>
                <w:iCs w:val="0"/>
                <w:color w:val="000000"/>
                <w:kern w:val="0"/>
                <w:sz w:val="20"/>
                <w:szCs w:val="20"/>
                <w:u w:val="none"/>
                <w:lang w:val="en-US" w:eastAsia="zh-CN" w:bidi="ar"/>
              </w:rPr>
              <w:t>2.培养目标与规格（10分）</w:t>
            </w:r>
          </w:p>
        </w:tc>
        <w:tc>
          <w:tcPr>
            <w:tcW w:w="1298" w:type="dxa"/>
            <w:vMerge w:val="restart"/>
            <w:tcBorders>
              <w:top w:val="single" w:color="000000" w:sz="4" w:space="0"/>
              <w:left w:val="single" w:color="000000" w:sz="4" w:space="0"/>
              <w:right w:val="single" w:color="000000" w:sz="4" w:space="0"/>
            </w:tcBorders>
            <w:noWrap w:val="0"/>
            <w:vAlign w:val="center"/>
          </w:tcPr>
          <w:p w14:paraId="5610811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2.1培养目标</w:t>
            </w:r>
          </w:p>
          <w:p w14:paraId="2A6D44CA">
            <w:pPr>
              <w:pStyle w:val="3"/>
              <w:keepNext w:val="0"/>
              <w:keepLines w:val="0"/>
              <w:pageBreakBefore w:val="0"/>
              <w:kinsoku/>
              <w:wordWrap/>
              <w:overflowPunct/>
              <w:topLinePunct w:val="0"/>
              <w:autoSpaceDE/>
              <w:autoSpaceDN/>
              <w:bidi w:val="0"/>
              <w:adjustRightInd/>
              <w:snapToGrid w:val="0"/>
              <w:jc w:val="center"/>
              <w:rPr>
                <w:rFonts w:hint="default" w:ascii="Times New Roman" w:hAnsi="Times New Roman" w:cs="Times New Roman"/>
                <w:lang w:val="en-US"/>
              </w:rPr>
            </w:pPr>
            <w:r>
              <w:rPr>
                <w:rFonts w:hint="default" w:ascii="Times New Roman" w:hAnsi="Times New Roman" w:eastAsia="仿宋_GB2312" w:cs="Times New Roman"/>
                <w:i w:val="0"/>
                <w:iCs w:val="0"/>
                <w:color w:val="000000"/>
                <w:kern w:val="0"/>
                <w:sz w:val="20"/>
                <w:szCs w:val="20"/>
                <w:u w:val="none"/>
                <w:lang w:val="en-US" w:eastAsia="zh-CN" w:bidi="ar"/>
              </w:rPr>
              <w:t>（5分）</w:t>
            </w: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510AD25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①落实立德树人根本任务，践行社会主义核心价值观，培养德智体美劳全面发展的社会主义接班人，为党育人、为国育才。（1分）</w:t>
            </w:r>
          </w:p>
        </w:tc>
      </w:tr>
      <w:tr w14:paraId="29DCB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061" w:type="dxa"/>
            <w:vMerge w:val="continue"/>
            <w:tcBorders>
              <w:left w:val="single" w:color="000000" w:sz="4" w:space="0"/>
              <w:right w:val="single" w:color="000000" w:sz="4" w:space="0"/>
            </w:tcBorders>
            <w:noWrap w:val="0"/>
            <w:vAlign w:val="center"/>
          </w:tcPr>
          <w:p w14:paraId="37069663">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left w:val="single" w:color="000000" w:sz="4" w:space="0"/>
              <w:right w:val="single" w:color="000000" w:sz="4" w:space="0"/>
            </w:tcBorders>
            <w:noWrap w:val="0"/>
            <w:vAlign w:val="center"/>
          </w:tcPr>
          <w:p w14:paraId="1A6EBC8B">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77ED149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②体现职业教育技能文明传承作用，强调职业道德和职业精神，明确应掌握的专业知识和技术技能，明确面向的职业岗位、能够从事的工作，应具备的职业综合素质和行动能力。（1分）</w:t>
            </w:r>
          </w:p>
        </w:tc>
      </w:tr>
      <w:tr w14:paraId="2D702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061" w:type="dxa"/>
            <w:vMerge w:val="continue"/>
            <w:tcBorders>
              <w:left w:val="single" w:color="000000" w:sz="4" w:space="0"/>
              <w:right w:val="single" w:color="000000" w:sz="4" w:space="0"/>
            </w:tcBorders>
            <w:noWrap w:val="0"/>
            <w:vAlign w:val="center"/>
          </w:tcPr>
          <w:p w14:paraId="0265C31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left w:val="single" w:color="000000" w:sz="4" w:space="0"/>
              <w:right w:val="single" w:color="000000" w:sz="4" w:space="0"/>
            </w:tcBorders>
            <w:noWrap w:val="0"/>
            <w:vAlign w:val="center"/>
          </w:tcPr>
          <w:p w14:paraId="53BEC471">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43FC21C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③体现重点培养的可持续发展能力，人文科学素养、创新、就业创业能力，以及面向新时代应具备的数字素养等。（1分）</w:t>
            </w:r>
          </w:p>
        </w:tc>
      </w:tr>
      <w:tr w14:paraId="12928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 w:hRule="atLeast"/>
          <w:jc w:val="center"/>
        </w:trPr>
        <w:tc>
          <w:tcPr>
            <w:tcW w:w="1061" w:type="dxa"/>
            <w:vMerge w:val="continue"/>
            <w:tcBorders>
              <w:left w:val="single" w:color="000000" w:sz="4" w:space="0"/>
              <w:right w:val="single" w:color="000000" w:sz="4" w:space="0"/>
            </w:tcBorders>
            <w:noWrap w:val="0"/>
            <w:vAlign w:val="center"/>
          </w:tcPr>
          <w:p w14:paraId="38A334EA">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left w:val="single" w:color="000000" w:sz="4" w:space="0"/>
              <w:bottom w:val="single" w:color="000000" w:sz="4" w:space="0"/>
              <w:right w:val="single" w:color="000000" w:sz="4" w:space="0"/>
            </w:tcBorders>
            <w:noWrap w:val="0"/>
            <w:vAlign w:val="center"/>
          </w:tcPr>
          <w:p w14:paraId="2BC8A763">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0A3E0B6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④明确不同层次职业教育的人才定位，中职：技能人才；高职专科：高技能人才；高职本科：高端技能人才。体现不同层次培养目标定位的差异和有机衔接，培养规格逐层递进，课程设置逐级加深，能力素质要求逐步提高。（2分）</w:t>
            </w:r>
          </w:p>
        </w:tc>
      </w:tr>
      <w:tr w14:paraId="7A1FE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061" w:type="dxa"/>
            <w:vMerge w:val="continue"/>
            <w:tcBorders>
              <w:left w:val="single" w:color="000000" w:sz="4" w:space="0"/>
              <w:right w:val="single" w:color="000000" w:sz="4" w:space="0"/>
            </w:tcBorders>
            <w:noWrap w:val="0"/>
            <w:vAlign w:val="center"/>
          </w:tcPr>
          <w:p w14:paraId="03397C9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restart"/>
            <w:tcBorders>
              <w:top w:val="single" w:color="000000" w:sz="4" w:space="0"/>
              <w:left w:val="single" w:color="000000" w:sz="4" w:space="0"/>
              <w:right w:val="single" w:color="000000" w:sz="4" w:space="0"/>
            </w:tcBorders>
            <w:noWrap w:val="0"/>
            <w:vAlign w:val="center"/>
          </w:tcPr>
          <w:p w14:paraId="483AB17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2.2培养规格</w:t>
            </w:r>
          </w:p>
          <w:p w14:paraId="3D25F991">
            <w:pPr>
              <w:pStyle w:val="3"/>
              <w:keepNext w:val="0"/>
              <w:keepLines w:val="0"/>
              <w:pageBreakBefore w:val="0"/>
              <w:kinsoku/>
              <w:wordWrap/>
              <w:overflowPunct/>
              <w:topLinePunct w:val="0"/>
              <w:autoSpaceDE/>
              <w:autoSpaceDN/>
              <w:bidi w:val="0"/>
              <w:adjustRightInd/>
              <w:snapToGrid w:val="0"/>
              <w:jc w:val="center"/>
              <w:rPr>
                <w:rFonts w:hint="default" w:ascii="Times New Roman" w:hAnsi="Times New Roman" w:cs="Times New Roman"/>
              </w:rPr>
            </w:pPr>
            <w:r>
              <w:rPr>
                <w:rFonts w:hint="default" w:ascii="Times New Roman" w:hAnsi="Times New Roman" w:eastAsia="仿宋_GB2312" w:cs="Times New Roman"/>
                <w:i w:val="0"/>
                <w:iCs w:val="0"/>
                <w:color w:val="000000"/>
                <w:kern w:val="0"/>
                <w:sz w:val="20"/>
                <w:szCs w:val="20"/>
                <w:u w:val="none"/>
                <w:lang w:val="en-US" w:eastAsia="zh-CN" w:bidi="ar"/>
              </w:rPr>
              <w:t>（5分）</w:t>
            </w: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3D7401B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①德育方面，明确学生在思想政治、科学文化素养、职业综合素质应达到的基本要求。如，坚定的理想信念、爱岗敬业的职业精神，良好的人文科学素养，语言文字表达和沟通合作等。（1分）</w:t>
            </w:r>
          </w:p>
        </w:tc>
      </w:tr>
      <w:tr w14:paraId="5366A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 w:hRule="atLeast"/>
          <w:jc w:val="center"/>
        </w:trPr>
        <w:tc>
          <w:tcPr>
            <w:tcW w:w="1061" w:type="dxa"/>
            <w:vMerge w:val="continue"/>
            <w:tcBorders>
              <w:left w:val="single" w:color="000000" w:sz="4" w:space="0"/>
              <w:right w:val="single" w:color="000000" w:sz="4" w:space="0"/>
            </w:tcBorders>
            <w:noWrap w:val="0"/>
            <w:vAlign w:val="center"/>
          </w:tcPr>
          <w:p w14:paraId="51F74ACB">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left w:val="single" w:color="000000" w:sz="4" w:space="0"/>
              <w:right w:val="single" w:color="000000" w:sz="4" w:space="0"/>
            </w:tcBorders>
            <w:noWrap w:val="0"/>
            <w:vAlign w:val="center"/>
          </w:tcPr>
          <w:p w14:paraId="159FF3E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481E77C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②专业领域方面，一是将职业岗位的工作任务所需要能力，根据学习者的学习与成长规律，归纳、凝练和组合，使培养规格能够按条目落实到相关课程中。二是胜任职业岗位工作所需的专业基础知识，职业行动能力，适应数字化智能化发展的数字技能、终身学习、解决问题等可持续发展能力。（1分）</w:t>
            </w:r>
          </w:p>
        </w:tc>
      </w:tr>
      <w:tr w14:paraId="586BD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jc w:val="center"/>
        </w:trPr>
        <w:tc>
          <w:tcPr>
            <w:tcW w:w="1061" w:type="dxa"/>
            <w:vMerge w:val="continue"/>
            <w:tcBorders>
              <w:left w:val="single" w:color="000000" w:sz="4" w:space="0"/>
              <w:right w:val="single" w:color="000000" w:sz="4" w:space="0"/>
            </w:tcBorders>
            <w:noWrap w:val="0"/>
            <w:vAlign w:val="center"/>
          </w:tcPr>
          <w:p w14:paraId="28D0DB9F">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left w:val="single" w:color="000000" w:sz="4" w:space="0"/>
              <w:right w:val="single" w:color="000000" w:sz="4" w:space="0"/>
            </w:tcBorders>
            <w:noWrap w:val="0"/>
            <w:vAlign w:val="center"/>
          </w:tcPr>
          <w:p w14:paraId="5B1731BF">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411D9AD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③体育方面，对运动技能和健康习惯提出要求，具备至少1项体育运动技能和良好的运动、卫生、行为习惯。（1分）</w:t>
            </w:r>
          </w:p>
        </w:tc>
      </w:tr>
      <w:tr w14:paraId="68EEF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061" w:type="dxa"/>
            <w:vMerge w:val="continue"/>
            <w:tcBorders>
              <w:left w:val="single" w:color="000000" w:sz="4" w:space="0"/>
              <w:right w:val="single" w:color="000000" w:sz="4" w:space="0"/>
            </w:tcBorders>
            <w:noWrap w:val="0"/>
            <w:vAlign w:val="center"/>
          </w:tcPr>
          <w:p w14:paraId="08F67A5B">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left w:val="single" w:color="000000" w:sz="4" w:space="0"/>
              <w:right w:val="single" w:color="000000" w:sz="4" w:space="0"/>
            </w:tcBorders>
            <w:noWrap w:val="0"/>
            <w:vAlign w:val="center"/>
          </w:tcPr>
          <w:p w14:paraId="69A21256">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4E947AB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④美育方面，对文化艺术素养提出要求，掌握必备的美育知识，具有一定的文化修养和至少1项艺术特长或爱好。（1分）</w:t>
            </w:r>
          </w:p>
        </w:tc>
      </w:tr>
      <w:tr w14:paraId="27858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 w:hRule="atLeast"/>
          <w:jc w:val="center"/>
        </w:trPr>
        <w:tc>
          <w:tcPr>
            <w:tcW w:w="1061" w:type="dxa"/>
            <w:vMerge w:val="continue"/>
            <w:tcBorders>
              <w:left w:val="single" w:color="000000" w:sz="4" w:space="0"/>
              <w:bottom w:val="single" w:color="000000" w:sz="4" w:space="0"/>
              <w:right w:val="single" w:color="000000" w:sz="4" w:space="0"/>
            </w:tcBorders>
            <w:noWrap w:val="0"/>
            <w:vAlign w:val="center"/>
          </w:tcPr>
          <w:p w14:paraId="15F8EE9B">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left w:val="single" w:color="000000" w:sz="4" w:space="0"/>
              <w:bottom w:val="single" w:color="000000" w:sz="4" w:space="0"/>
              <w:right w:val="single" w:color="000000" w:sz="4" w:space="0"/>
            </w:tcBorders>
            <w:noWrap w:val="0"/>
            <w:vAlign w:val="center"/>
          </w:tcPr>
          <w:p w14:paraId="22A9C1E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41DD13F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⑤劳动教育方面，应强调劳动观和劳动素养的培育，涵盖一般劳动以及具有职业教育特征、融于人才培养过程的岗位实习、社会实践、志愿者服务、创新创业、技能竞赛等。（1分）</w:t>
            </w:r>
          </w:p>
        </w:tc>
      </w:tr>
      <w:tr w14:paraId="37CF8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061" w:type="dxa"/>
            <w:vMerge w:val="restart"/>
            <w:tcBorders>
              <w:top w:val="single" w:color="000000" w:sz="4" w:space="0"/>
              <w:left w:val="single" w:color="000000" w:sz="4" w:space="0"/>
              <w:bottom w:val="single" w:color="000000" w:sz="4" w:space="0"/>
              <w:right w:val="single" w:color="000000" w:sz="4" w:space="0"/>
            </w:tcBorders>
            <w:noWrap w:val="0"/>
            <w:vAlign w:val="center"/>
          </w:tcPr>
          <w:p w14:paraId="207B589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b/>
                <w:bCs/>
                <w:i w:val="0"/>
                <w:iCs w:val="0"/>
                <w:color w:val="000000"/>
                <w:kern w:val="0"/>
                <w:sz w:val="20"/>
                <w:szCs w:val="20"/>
                <w:u w:val="none"/>
                <w:lang w:val="en-US" w:eastAsia="zh-CN" w:bidi="ar"/>
              </w:rPr>
            </w:pPr>
            <w:r>
              <w:rPr>
                <w:rFonts w:hint="default" w:ascii="Times New Roman" w:hAnsi="Times New Roman" w:eastAsia="仿宋_GB2312" w:cs="Times New Roman"/>
                <w:b/>
                <w:bCs/>
                <w:i w:val="0"/>
                <w:iCs w:val="0"/>
                <w:color w:val="000000"/>
                <w:kern w:val="0"/>
                <w:sz w:val="20"/>
                <w:szCs w:val="20"/>
                <w:u w:val="none"/>
                <w:lang w:val="en-US" w:eastAsia="zh-CN" w:bidi="ar"/>
              </w:rPr>
              <w:t>3.课程</w:t>
            </w:r>
          </w:p>
          <w:p w14:paraId="7041428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b/>
                <w:bCs/>
                <w:i w:val="0"/>
                <w:iCs w:val="0"/>
                <w:color w:val="000000"/>
                <w:kern w:val="0"/>
                <w:sz w:val="20"/>
                <w:szCs w:val="20"/>
                <w:u w:val="none"/>
                <w:lang w:val="en-US" w:eastAsia="zh-CN" w:bidi="ar"/>
              </w:rPr>
            </w:pPr>
            <w:r>
              <w:rPr>
                <w:rFonts w:hint="default" w:ascii="Times New Roman" w:hAnsi="Times New Roman" w:eastAsia="仿宋_GB2312" w:cs="Times New Roman"/>
                <w:b/>
                <w:bCs/>
                <w:i w:val="0"/>
                <w:iCs w:val="0"/>
                <w:color w:val="000000"/>
                <w:kern w:val="0"/>
                <w:sz w:val="20"/>
                <w:szCs w:val="20"/>
                <w:u w:val="none"/>
                <w:lang w:val="en-US" w:eastAsia="zh-CN" w:bidi="ar"/>
              </w:rPr>
              <w:t>体系</w:t>
            </w:r>
          </w:p>
          <w:p w14:paraId="62BCD1F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b/>
                <w:bCs/>
                <w:i w:val="0"/>
                <w:iCs w:val="0"/>
                <w:color w:val="000000"/>
                <w:sz w:val="20"/>
                <w:szCs w:val="20"/>
                <w:u w:val="none"/>
              </w:rPr>
            </w:pPr>
            <w:r>
              <w:rPr>
                <w:rFonts w:hint="default" w:ascii="Times New Roman" w:hAnsi="Times New Roman" w:eastAsia="仿宋_GB2312" w:cs="Times New Roman"/>
                <w:b/>
                <w:bCs/>
                <w:i w:val="0"/>
                <w:iCs w:val="0"/>
                <w:color w:val="000000"/>
                <w:kern w:val="0"/>
                <w:sz w:val="20"/>
                <w:szCs w:val="20"/>
                <w:u w:val="none"/>
                <w:lang w:val="en-US" w:eastAsia="zh-CN" w:bidi="ar"/>
              </w:rPr>
              <w:t>（30分）</w:t>
            </w:r>
          </w:p>
        </w:tc>
        <w:tc>
          <w:tcPr>
            <w:tcW w:w="1298" w:type="dxa"/>
            <w:vMerge w:val="restart"/>
            <w:tcBorders>
              <w:top w:val="single" w:color="000000" w:sz="4" w:space="0"/>
              <w:left w:val="single" w:color="000000" w:sz="4" w:space="0"/>
              <w:right w:val="single" w:color="000000" w:sz="4" w:space="0"/>
            </w:tcBorders>
            <w:noWrap w:val="0"/>
            <w:vAlign w:val="center"/>
          </w:tcPr>
          <w:p w14:paraId="739686B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3.1公共基础课基本要求</w:t>
            </w:r>
          </w:p>
          <w:p w14:paraId="1999E37A">
            <w:pPr>
              <w:pStyle w:val="3"/>
              <w:keepNext w:val="0"/>
              <w:keepLines w:val="0"/>
              <w:pageBreakBefore w:val="0"/>
              <w:kinsoku/>
              <w:wordWrap/>
              <w:overflowPunct/>
              <w:topLinePunct w:val="0"/>
              <w:autoSpaceDE/>
              <w:autoSpaceDN/>
              <w:bidi w:val="0"/>
              <w:adjustRightInd/>
              <w:snapToGrid w:val="0"/>
              <w:jc w:val="center"/>
              <w:rPr>
                <w:rFonts w:hint="default" w:ascii="Times New Roman" w:hAnsi="Times New Roman" w:cs="Times New Roman"/>
              </w:rPr>
            </w:pPr>
            <w:r>
              <w:rPr>
                <w:rFonts w:hint="default" w:ascii="Times New Roman" w:hAnsi="Times New Roman" w:eastAsia="仿宋_GB2312" w:cs="Times New Roman"/>
                <w:i w:val="0"/>
                <w:iCs w:val="0"/>
                <w:color w:val="000000"/>
                <w:kern w:val="0"/>
                <w:sz w:val="20"/>
                <w:szCs w:val="20"/>
                <w:u w:val="none"/>
                <w:lang w:val="en-US" w:eastAsia="zh-CN" w:bidi="ar"/>
              </w:rPr>
              <w:t>（见注）</w:t>
            </w: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6FCCF61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①中职学校开齐开足思想政治144学时、语文198学时（含限定选修）、历史72学时、数学144学时（含限定选修）、英语144学时（含限定选修）、信息技术108学时、体育与健康144学时（含限定选修）、艺术36学时等公共必修课程，并将下列课程列为必修课或限定选修课：习近平新时代中国特色社会主义思想学生读本、劳动教育（其中劳动精神、劳模精神、工匠精神专题不少于16学时）、物理（机械建筑类、电工电子类、化工农医类等专业必修且不少于45学时）、化学（医药卫生类、农林牧渔类、加工制造类专业必修且不少于45学时），以及中华优秀传统文化、职业素养、人工智能等课程。</w:t>
            </w:r>
          </w:p>
        </w:tc>
      </w:tr>
      <w:tr w14:paraId="1369E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E038C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left w:val="single" w:color="000000" w:sz="4" w:space="0"/>
              <w:bottom w:val="single" w:color="auto" w:sz="4" w:space="0"/>
              <w:right w:val="single" w:color="000000" w:sz="4" w:space="0"/>
            </w:tcBorders>
            <w:noWrap w:val="0"/>
            <w:vAlign w:val="center"/>
          </w:tcPr>
          <w:p w14:paraId="341A7DD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auto" w:sz="4" w:space="0"/>
              <w:right w:val="single" w:color="000000" w:sz="4" w:space="0"/>
            </w:tcBorders>
            <w:noWrap w:val="0"/>
            <w:vAlign w:val="center"/>
          </w:tcPr>
          <w:p w14:paraId="2B60BE0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②高职学校开齐开足思想政治理论课、体育（三年制高职不少于108学时、五年制高职阶段不少于60学时）、军事课、心理健康教育、国家安全教育等公共必修课程，并将下列课程列为必修课或限定选修课：马克思主义理论类课程、党史国史、中华优秀传统文化、职业发展与就业指导、创新创业教育（不少于32学时）、信息技术（必修48-72学时）、语文、数学（理工类专业必修）、英语（必修128-144学时）、劳动教育（其中劳动精神、劳模精神、工匠精神专题不少于16学时）、健康教育、美育课程、职业素养、人工智能等课程。</w:t>
            </w:r>
          </w:p>
        </w:tc>
      </w:tr>
      <w:tr w14:paraId="7143E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94568B">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restart"/>
            <w:tcBorders>
              <w:top w:val="single" w:color="auto" w:sz="4" w:space="0"/>
              <w:left w:val="single" w:color="000000" w:sz="4" w:space="0"/>
              <w:right w:val="single" w:color="000000" w:sz="4" w:space="0"/>
            </w:tcBorders>
            <w:noWrap w:val="0"/>
            <w:vAlign w:val="center"/>
          </w:tcPr>
          <w:p w14:paraId="7CF811D0">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lang w:val="en-US" w:eastAsia="zh-CN"/>
              </w:rPr>
            </w:pPr>
            <w:r>
              <w:rPr>
                <w:rFonts w:hint="default" w:ascii="Times New Roman" w:hAnsi="Times New Roman" w:eastAsia="仿宋_GB2312" w:cs="Times New Roman"/>
                <w:i w:val="0"/>
                <w:iCs w:val="0"/>
                <w:color w:val="000000"/>
                <w:sz w:val="20"/>
                <w:szCs w:val="20"/>
                <w:u w:val="none"/>
                <w:lang w:val="en-US" w:eastAsia="zh-CN"/>
              </w:rPr>
              <w:t>3.2专业课</w:t>
            </w:r>
          </w:p>
          <w:p w14:paraId="1E9BAA66">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lang w:val="en-US" w:eastAsia="zh-CN"/>
              </w:rPr>
            </w:pPr>
            <w:r>
              <w:rPr>
                <w:rFonts w:hint="default" w:ascii="Times New Roman" w:hAnsi="Times New Roman" w:eastAsia="仿宋_GB2312" w:cs="Times New Roman"/>
                <w:i w:val="0"/>
                <w:iCs w:val="0"/>
                <w:color w:val="000000"/>
                <w:sz w:val="20"/>
                <w:szCs w:val="20"/>
                <w:u w:val="none"/>
                <w:lang w:val="en-US" w:eastAsia="zh-CN"/>
              </w:rPr>
              <w:t>基本要求</w:t>
            </w:r>
            <w:r>
              <w:rPr>
                <w:rFonts w:hint="default" w:ascii="Times New Roman" w:hAnsi="Times New Roman" w:eastAsia="仿宋_GB2312" w:cs="Times New Roman"/>
                <w:i w:val="0"/>
                <w:iCs w:val="0"/>
                <w:color w:val="000000"/>
                <w:kern w:val="0"/>
                <w:sz w:val="20"/>
                <w:szCs w:val="20"/>
                <w:u w:val="none"/>
                <w:lang w:val="en-US" w:eastAsia="zh-CN" w:bidi="ar"/>
              </w:rPr>
              <w:t>（20分）</w:t>
            </w:r>
          </w:p>
        </w:tc>
        <w:tc>
          <w:tcPr>
            <w:tcW w:w="11699" w:type="dxa"/>
            <w:tcBorders>
              <w:top w:val="single" w:color="auto" w:sz="4" w:space="0"/>
              <w:left w:val="single" w:color="000000" w:sz="4" w:space="0"/>
              <w:bottom w:val="single" w:color="000000" w:sz="4" w:space="0"/>
              <w:right w:val="single" w:color="000000" w:sz="4" w:space="0"/>
            </w:tcBorders>
            <w:noWrap w:val="0"/>
            <w:vAlign w:val="center"/>
          </w:tcPr>
          <w:p w14:paraId="0F2F472B">
            <w:pPr>
              <w:pStyle w:val="3"/>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rightChars="0"/>
              <w:jc w:val="left"/>
              <w:textAlignment w:val="auto"/>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①课程体系设计思路清晰，有效对接人才培养规格，与教学进程安排、课程描述等前后保持一致，能支撑培养目标达成。（5分）</w:t>
            </w:r>
          </w:p>
        </w:tc>
      </w:tr>
      <w:tr w14:paraId="188F5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3AEE7E">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left w:val="single" w:color="000000" w:sz="4" w:space="0"/>
              <w:right w:val="single" w:color="000000" w:sz="4" w:space="0"/>
            </w:tcBorders>
            <w:noWrap w:val="0"/>
            <w:vAlign w:val="center"/>
          </w:tcPr>
          <w:p w14:paraId="4F84406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lang w:val="en-US" w:eastAsia="zh-CN"/>
              </w:rPr>
            </w:pPr>
          </w:p>
        </w:tc>
        <w:tc>
          <w:tcPr>
            <w:tcW w:w="11699" w:type="dxa"/>
            <w:tcBorders>
              <w:top w:val="single" w:color="auto" w:sz="4" w:space="0"/>
              <w:left w:val="single" w:color="000000" w:sz="4" w:space="0"/>
              <w:bottom w:val="single" w:color="000000" w:sz="4" w:space="0"/>
              <w:right w:val="single" w:color="000000" w:sz="4" w:space="0"/>
            </w:tcBorders>
            <w:noWrap w:val="0"/>
            <w:vAlign w:val="center"/>
          </w:tcPr>
          <w:p w14:paraId="069CF4BE">
            <w:pPr>
              <w:pStyle w:val="3"/>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rightChars="0"/>
              <w:jc w:val="left"/>
              <w:textAlignment w:val="auto"/>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②专业基础课。为专业核心课程提供基础性理论知识和技能，为更好完成职业工作任务、促进职业迁移能力而设置，完成典型工作任务所必需的知识、技能和能力而形成的课程。根据《专业教学标准（2025年修订）》给出的相关领域和数量要求合理设置，其中高职专科和高职本科不限定数量。（5分）</w:t>
            </w:r>
          </w:p>
        </w:tc>
      </w:tr>
      <w:tr w14:paraId="7A954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46BDD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left w:val="single" w:color="000000" w:sz="4" w:space="0"/>
              <w:right w:val="single" w:color="000000" w:sz="4" w:space="0"/>
            </w:tcBorders>
            <w:noWrap w:val="0"/>
            <w:vAlign w:val="center"/>
          </w:tcPr>
          <w:p w14:paraId="690E401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6FFED1ED">
            <w:pPr>
              <w:pStyle w:val="3"/>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rightChars="0"/>
              <w:jc w:val="left"/>
              <w:textAlignment w:val="auto"/>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③专业核心课。根据岗位典型工作任务、岗位工作内容设置的课程，是区别不同专业、培养核心职业能力的主干课程。课程领域应对应相关专业的典型工作任务和能力要求。根据《专业教学标准（2025年修订）》给出的相关领域和数量要求合理设置，其中高职专科和高职本科不限定数量。学校结合区域/行业实际、办学定位和人才培养需要自主确定课程，进行模块化课程设计，依托体现新方法、新技术、新工艺、新标准的真实生产项目和典型工作任务等，开展项目式、情境式教学，结合人工智能等技术实施课程教学的数字化转型。（5分）</w:t>
            </w:r>
          </w:p>
        </w:tc>
      </w:tr>
      <w:tr w14:paraId="1F292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AD897E">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left w:val="single" w:color="000000" w:sz="4" w:space="0"/>
              <w:right w:val="single" w:color="000000" w:sz="4" w:space="0"/>
            </w:tcBorders>
            <w:noWrap w:val="0"/>
            <w:vAlign w:val="center"/>
          </w:tcPr>
          <w:p w14:paraId="5609B5BD">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6E392AEC">
            <w:pPr>
              <w:pStyle w:val="3"/>
              <w:keepNext w:val="0"/>
              <w:keepLines w:val="0"/>
              <w:pageBreakBefore w:val="0"/>
              <w:widowControl w:val="0"/>
              <w:kinsoku/>
              <w:wordWrap/>
              <w:overflowPunct/>
              <w:topLinePunct w:val="0"/>
              <w:autoSpaceDE/>
              <w:autoSpaceDN/>
              <w:bidi w:val="0"/>
              <w:adjustRightInd/>
              <w:snapToGrid w:val="0"/>
              <w:ind w:left="600" w:hanging="600" w:hangingChars="300"/>
              <w:jc w:val="both"/>
              <w:textAlignment w:val="auto"/>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④专业拓展课（含选修、必修）。本专业横向拓展和纵向深化的课程，根据《专业教学标准（2025年修订）》给出的相关领域要求</w:t>
            </w:r>
          </w:p>
          <w:p w14:paraId="2FF9AC43">
            <w:pPr>
              <w:pStyle w:val="3"/>
              <w:keepNext w:val="0"/>
              <w:keepLines w:val="0"/>
              <w:pageBreakBefore w:val="0"/>
              <w:widowControl w:val="0"/>
              <w:kinsoku/>
              <w:wordWrap/>
              <w:overflowPunct/>
              <w:topLinePunct w:val="0"/>
              <w:autoSpaceDE/>
              <w:autoSpaceDN/>
              <w:bidi w:val="0"/>
              <w:adjustRightInd/>
              <w:snapToGrid w:val="0"/>
              <w:ind w:left="600" w:hanging="600" w:hangingChars="300"/>
              <w:jc w:val="both"/>
              <w:textAlignment w:val="auto"/>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合理设置，各教育层次均不限定数量。学校可结合区域/行业实际、办学定位和人才培养需要自主确定课程，可做综合应用，也可进</w:t>
            </w:r>
          </w:p>
          <w:p w14:paraId="1376E8C1">
            <w:pPr>
              <w:pStyle w:val="3"/>
              <w:keepNext w:val="0"/>
              <w:keepLines w:val="0"/>
              <w:pageBreakBefore w:val="0"/>
              <w:widowControl w:val="0"/>
              <w:kinsoku/>
              <w:wordWrap/>
              <w:overflowPunct/>
              <w:topLinePunct w:val="0"/>
              <w:autoSpaceDE/>
              <w:autoSpaceDN/>
              <w:bidi w:val="0"/>
              <w:adjustRightInd/>
              <w:snapToGrid w:val="0"/>
              <w:ind w:left="600" w:hanging="600" w:hangingChars="300"/>
              <w:jc w:val="both"/>
              <w:textAlignment w:val="auto"/>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行模块化、项目化课程设计，根据学校实际灵活设置。艺术、管理、服务等领域专业要增设工程技术等方面课程，生产、制造、工</w:t>
            </w:r>
          </w:p>
          <w:p w14:paraId="06E851F3">
            <w:pPr>
              <w:pStyle w:val="3"/>
              <w:keepNext w:val="0"/>
              <w:keepLines w:val="0"/>
              <w:pageBreakBefore w:val="0"/>
              <w:widowControl w:val="0"/>
              <w:kinsoku/>
              <w:wordWrap/>
              <w:overflowPunct/>
              <w:topLinePunct w:val="0"/>
              <w:autoSpaceDE/>
              <w:autoSpaceDN/>
              <w:bidi w:val="0"/>
              <w:adjustRightInd/>
              <w:snapToGrid w:val="0"/>
              <w:ind w:left="600" w:hanging="600" w:hangingChars="300"/>
              <w:jc w:val="both"/>
              <w:textAlignment w:val="auto"/>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程等领域专业要增设人文社科等方面课程。（5分）</w:t>
            </w:r>
          </w:p>
        </w:tc>
      </w:tr>
      <w:tr w14:paraId="7C48B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CBEA7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restart"/>
            <w:tcBorders>
              <w:top w:val="single" w:color="000000" w:sz="4" w:space="0"/>
              <w:left w:val="single" w:color="000000" w:sz="4" w:space="0"/>
              <w:bottom w:val="single" w:color="000000" w:sz="4" w:space="0"/>
              <w:right w:val="single" w:color="000000" w:sz="4" w:space="0"/>
            </w:tcBorders>
            <w:noWrap w:val="0"/>
            <w:vAlign w:val="center"/>
          </w:tcPr>
          <w:p w14:paraId="41B6CB9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3.3课程描述</w:t>
            </w:r>
          </w:p>
          <w:p w14:paraId="36CF7F35">
            <w:pPr>
              <w:pStyle w:val="3"/>
              <w:keepNext w:val="0"/>
              <w:keepLines w:val="0"/>
              <w:pageBreakBefore w:val="0"/>
              <w:kinsoku/>
              <w:wordWrap/>
              <w:overflowPunct/>
              <w:topLinePunct w:val="0"/>
              <w:autoSpaceDE/>
              <w:autoSpaceDN/>
              <w:bidi w:val="0"/>
              <w:adjustRightInd/>
              <w:snapToGrid w:val="0"/>
              <w:jc w:val="center"/>
              <w:rPr>
                <w:rFonts w:hint="default" w:ascii="Times New Roman" w:hAnsi="Times New Roman" w:cs="Times New Roman"/>
              </w:rPr>
            </w:pPr>
            <w:r>
              <w:rPr>
                <w:rFonts w:hint="default" w:ascii="Times New Roman" w:hAnsi="Times New Roman" w:eastAsia="仿宋_GB2312" w:cs="Times New Roman"/>
                <w:i w:val="0"/>
                <w:iCs w:val="0"/>
                <w:color w:val="000000"/>
                <w:kern w:val="0"/>
                <w:sz w:val="20"/>
                <w:szCs w:val="20"/>
                <w:u w:val="none"/>
                <w:lang w:val="en-US" w:eastAsia="zh-CN" w:bidi="ar"/>
              </w:rPr>
              <w:t>（10分）</w:t>
            </w: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1F1639C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①落实立德树人的要求，突出应用性与实践性。（2分）</w:t>
            </w:r>
          </w:p>
        </w:tc>
      </w:tr>
      <w:tr w14:paraId="418CE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ED0C31">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4890C3">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2958685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②准确描述各门课程的教学目标、教学内容和教学要求等。（8分）</w:t>
            </w:r>
          </w:p>
        </w:tc>
      </w:tr>
      <w:tr w14:paraId="0845B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061" w:type="dxa"/>
            <w:vMerge w:val="restart"/>
            <w:tcBorders>
              <w:top w:val="single" w:color="000000" w:sz="4" w:space="0"/>
              <w:left w:val="single" w:color="000000" w:sz="4" w:space="0"/>
              <w:bottom w:val="single" w:color="000000" w:sz="4" w:space="0"/>
              <w:right w:val="single" w:color="000000" w:sz="4" w:space="0"/>
            </w:tcBorders>
            <w:noWrap w:val="0"/>
            <w:vAlign w:val="center"/>
          </w:tcPr>
          <w:p w14:paraId="3615189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b/>
                <w:bCs/>
                <w:i w:val="0"/>
                <w:iCs w:val="0"/>
                <w:color w:val="000000"/>
                <w:kern w:val="0"/>
                <w:sz w:val="20"/>
                <w:szCs w:val="20"/>
                <w:u w:val="none"/>
                <w:lang w:val="en-US" w:eastAsia="zh-CN" w:bidi="ar"/>
              </w:rPr>
            </w:pPr>
            <w:r>
              <w:rPr>
                <w:rFonts w:hint="default" w:ascii="Times New Roman" w:hAnsi="Times New Roman" w:eastAsia="仿宋_GB2312" w:cs="Times New Roman"/>
                <w:b/>
                <w:bCs/>
                <w:i w:val="0"/>
                <w:iCs w:val="0"/>
                <w:color w:val="000000"/>
                <w:kern w:val="0"/>
                <w:sz w:val="20"/>
                <w:szCs w:val="20"/>
                <w:u w:val="none"/>
                <w:lang w:val="en-US" w:eastAsia="zh-CN" w:bidi="ar"/>
              </w:rPr>
              <w:t>4.教学</w:t>
            </w:r>
          </w:p>
          <w:p w14:paraId="2700052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b/>
                <w:bCs/>
                <w:i w:val="0"/>
                <w:iCs w:val="0"/>
                <w:color w:val="000000"/>
                <w:kern w:val="0"/>
                <w:sz w:val="20"/>
                <w:szCs w:val="20"/>
                <w:u w:val="none"/>
                <w:lang w:val="en-US" w:eastAsia="zh-CN" w:bidi="ar"/>
              </w:rPr>
            </w:pPr>
            <w:r>
              <w:rPr>
                <w:rFonts w:hint="default" w:ascii="Times New Roman" w:hAnsi="Times New Roman" w:eastAsia="仿宋_GB2312" w:cs="Times New Roman"/>
                <w:b/>
                <w:bCs/>
                <w:i w:val="0"/>
                <w:iCs w:val="0"/>
                <w:color w:val="000000"/>
                <w:kern w:val="0"/>
                <w:sz w:val="20"/>
                <w:szCs w:val="20"/>
                <w:u w:val="none"/>
                <w:lang w:val="en-US" w:eastAsia="zh-CN" w:bidi="ar"/>
              </w:rPr>
              <w:t>进程</w:t>
            </w:r>
          </w:p>
          <w:p w14:paraId="505A1DA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b/>
                <w:bCs/>
                <w:i w:val="0"/>
                <w:iCs w:val="0"/>
                <w:color w:val="000000"/>
                <w:sz w:val="20"/>
                <w:szCs w:val="20"/>
                <w:u w:val="none"/>
              </w:rPr>
            </w:pPr>
            <w:r>
              <w:rPr>
                <w:rFonts w:hint="default" w:ascii="Times New Roman" w:hAnsi="Times New Roman" w:eastAsia="仿宋_GB2312" w:cs="Times New Roman"/>
                <w:b/>
                <w:bCs/>
                <w:i w:val="0"/>
                <w:iCs w:val="0"/>
                <w:color w:val="000000"/>
                <w:kern w:val="0"/>
                <w:sz w:val="20"/>
                <w:szCs w:val="20"/>
                <w:u w:val="none"/>
                <w:lang w:val="en-US" w:eastAsia="zh-CN" w:bidi="ar"/>
              </w:rPr>
              <w:t>（15分）</w:t>
            </w:r>
          </w:p>
        </w:tc>
        <w:tc>
          <w:tcPr>
            <w:tcW w:w="1298" w:type="dxa"/>
            <w:vMerge w:val="restart"/>
            <w:tcBorders>
              <w:top w:val="single" w:color="000000" w:sz="4" w:space="0"/>
              <w:left w:val="single" w:color="000000" w:sz="4" w:space="0"/>
              <w:right w:val="single" w:color="000000" w:sz="4" w:space="0"/>
            </w:tcBorders>
            <w:noWrap w:val="0"/>
            <w:vAlign w:val="center"/>
          </w:tcPr>
          <w:p w14:paraId="64A0198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4.1基本要求</w:t>
            </w:r>
          </w:p>
          <w:p w14:paraId="10CD9273">
            <w:pPr>
              <w:pStyle w:val="3"/>
              <w:keepNext w:val="0"/>
              <w:keepLines w:val="0"/>
              <w:pageBreakBefore w:val="0"/>
              <w:kinsoku/>
              <w:wordWrap/>
              <w:overflowPunct/>
              <w:topLinePunct w:val="0"/>
              <w:autoSpaceDE/>
              <w:autoSpaceDN/>
              <w:bidi w:val="0"/>
              <w:adjustRightInd/>
              <w:snapToGrid w:val="0"/>
              <w:jc w:val="center"/>
              <w:rPr>
                <w:rFonts w:hint="default" w:ascii="Times New Roman" w:hAnsi="Times New Roman" w:cs="Times New Roman"/>
              </w:rPr>
            </w:pPr>
            <w:r>
              <w:rPr>
                <w:rFonts w:hint="default" w:ascii="Times New Roman" w:hAnsi="Times New Roman" w:eastAsia="仿宋_GB2312" w:cs="Times New Roman"/>
                <w:i w:val="0"/>
                <w:iCs w:val="0"/>
                <w:color w:val="000000"/>
                <w:kern w:val="0"/>
                <w:sz w:val="20"/>
                <w:szCs w:val="20"/>
                <w:u w:val="none"/>
                <w:lang w:val="en-US" w:eastAsia="zh-CN" w:bidi="ar"/>
              </w:rPr>
              <w:t>（见注）</w:t>
            </w: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4393885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①教学活动周数。每学年安排40周教学活动（含复习考试）。</w:t>
            </w:r>
          </w:p>
        </w:tc>
      </w:tr>
      <w:tr w14:paraId="057F5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09FCDC">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left w:val="single" w:color="000000" w:sz="4" w:space="0"/>
              <w:right w:val="single" w:color="000000" w:sz="4" w:space="0"/>
            </w:tcBorders>
            <w:noWrap w:val="0"/>
            <w:vAlign w:val="center"/>
          </w:tcPr>
          <w:p w14:paraId="5095F8FD">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13282CCD">
            <w:pPr>
              <w:pStyle w:val="3"/>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rightChars="0"/>
              <w:jc w:val="left"/>
              <w:textAlignment w:val="auto"/>
              <w:rPr>
                <w:rFonts w:hint="default" w:ascii="Times New Roman" w:hAnsi="Times New Roman" w:eastAsia="仿宋_GB2312" w:cs="Times New Roman"/>
                <w:i w:val="0"/>
                <w:iCs w:val="0"/>
                <w:color w:val="000000"/>
                <w:sz w:val="20"/>
                <w:szCs w:val="20"/>
                <w:u w:val="none"/>
                <w:lang w:val="en-US"/>
              </w:rPr>
            </w:pPr>
            <w:r>
              <w:rPr>
                <w:rFonts w:hint="default" w:ascii="Times New Roman" w:hAnsi="Times New Roman" w:eastAsia="仿宋_GB2312" w:cs="Times New Roman"/>
                <w:i w:val="0"/>
                <w:iCs w:val="0"/>
                <w:color w:val="000000"/>
                <w:kern w:val="0"/>
                <w:sz w:val="20"/>
                <w:szCs w:val="20"/>
                <w:u w:val="none"/>
                <w:lang w:val="en-US" w:eastAsia="zh-CN" w:bidi="ar"/>
              </w:rPr>
              <w:t>②总学时数。中职不少于3000学时；高职专科（三年制）不少于2500学时；高职专科（五年制）不少于4700学时；高职本科不少于3200学时。具体根据《专业教学标准（2025年修订）》制订、实施。</w:t>
            </w:r>
          </w:p>
        </w:tc>
      </w:tr>
      <w:tr w14:paraId="38CFF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2CF17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left w:val="single" w:color="000000" w:sz="4" w:space="0"/>
              <w:right w:val="single" w:color="000000" w:sz="4" w:space="0"/>
            </w:tcBorders>
            <w:noWrap w:val="0"/>
            <w:vAlign w:val="center"/>
          </w:tcPr>
          <w:p w14:paraId="4DAC698C">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6A5B8D50">
            <w:pPr>
              <w:pStyle w:val="3"/>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ind w:left="0" w:right="0" w:rightChars="0"/>
              <w:jc w:val="left"/>
              <w:textAlignment w:val="auto"/>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③公共基础课学时数。中职一般占总学时的1/3；高职学校（三年制）一般不少于总学时的25%；高职学校（五年制）一般不少于总学时的30%；高职本科一般不少于总学时的25%。</w:t>
            </w:r>
          </w:p>
        </w:tc>
      </w:tr>
      <w:tr w14:paraId="1E69E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8133D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left w:val="single" w:color="000000" w:sz="4" w:space="0"/>
              <w:right w:val="single" w:color="000000" w:sz="4" w:space="0"/>
            </w:tcBorders>
            <w:noWrap w:val="0"/>
            <w:vAlign w:val="center"/>
          </w:tcPr>
          <w:p w14:paraId="58F8D99E">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0837167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④选修课课时数不少于总学时10%。公共基础必修课的选修部分和拓展部分可纳入选修课课时。</w:t>
            </w:r>
          </w:p>
        </w:tc>
      </w:tr>
      <w:tr w14:paraId="2D562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6059C0">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left w:val="single" w:color="000000" w:sz="4" w:space="0"/>
              <w:right w:val="single" w:color="000000" w:sz="4" w:space="0"/>
            </w:tcBorders>
            <w:noWrap w:val="0"/>
            <w:vAlign w:val="center"/>
          </w:tcPr>
          <w:p w14:paraId="39FD3B9B">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32E78FA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⑤实践性教学环节应贯穿于人才培养全过程，主要包括实验、实习实训、毕业设计、社会实践活动等形式，公共基础课程和专业课程等都要加强实践性教学。中职和高职专科的实践性教学学时不少于总学时数的50%，高职本科不少于60%。</w:t>
            </w:r>
          </w:p>
        </w:tc>
      </w:tr>
      <w:tr w14:paraId="2B835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536B9A">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left w:val="single" w:color="000000" w:sz="4" w:space="0"/>
              <w:right w:val="single" w:color="000000" w:sz="4" w:space="0"/>
            </w:tcBorders>
            <w:noWrap w:val="0"/>
            <w:vAlign w:val="center"/>
          </w:tcPr>
          <w:p w14:paraId="46F3E986">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278B8E8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sz w:val="20"/>
                <w:szCs w:val="20"/>
                <w:u w:val="none"/>
              </w:rPr>
              <w:t>⑥</w:t>
            </w:r>
            <w:r>
              <w:rPr>
                <w:rFonts w:hint="default" w:ascii="Times New Roman" w:hAnsi="Times New Roman" w:eastAsia="仿宋_GB2312" w:cs="Times New Roman"/>
                <w:i w:val="0"/>
                <w:iCs w:val="0"/>
                <w:color w:val="000000"/>
                <w:sz w:val="20"/>
                <w:szCs w:val="20"/>
                <w:u w:val="none"/>
                <w:lang w:val="en-US" w:eastAsia="zh-CN"/>
              </w:rPr>
              <w:t>实习时间。中职累计不超过6个月（其中校外企业岗位实习一般不超过3个月）；高职专科累计一般为6个月；高职本科累计一般不少于6个月。</w:t>
            </w:r>
            <w:r>
              <w:rPr>
                <w:rFonts w:hint="default" w:ascii="Times New Roman" w:hAnsi="Times New Roman" w:eastAsia="仿宋_GB2312" w:cs="Times New Roman"/>
                <w:i w:val="0"/>
                <w:iCs w:val="0"/>
                <w:color w:val="000000"/>
                <w:kern w:val="0"/>
                <w:sz w:val="20"/>
                <w:szCs w:val="20"/>
                <w:u w:val="none"/>
                <w:lang w:val="en-US" w:eastAsia="zh-CN" w:bidi="ar"/>
              </w:rPr>
              <w:t>医卫类专业一般为8个月。</w:t>
            </w:r>
          </w:p>
        </w:tc>
      </w:tr>
      <w:tr w14:paraId="78BAD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936D22">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left w:val="single" w:color="000000" w:sz="4" w:space="0"/>
              <w:bottom w:val="single" w:color="000000" w:sz="4" w:space="0"/>
              <w:right w:val="single" w:color="000000" w:sz="4" w:space="0"/>
            </w:tcBorders>
            <w:noWrap w:val="0"/>
            <w:vAlign w:val="center"/>
          </w:tcPr>
          <w:p w14:paraId="766144FE">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290D4F2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⑦</w:t>
            </w:r>
            <w:r>
              <w:rPr>
                <w:rFonts w:hint="default" w:ascii="Times New Roman" w:hAnsi="Times New Roman" w:eastAsia="仿宋_GB2312" w:cs="Times New Roman"/>
                <w:i w:val="0"/>
                <w:iCs w:val="0"/>
                <w:color w:val="000000"/>
                <w:kern w:val="0"/>
                <w:sz w:val="20"/>
                <w:szCs w:val="20"/>
                <w:u w:val="none"/>
                <w:lang w:val="en-US" w:eastAsia="zh-CN" w:bidi="ar"/>
              </w:rPr>
              <w:t>16—18学时计为1个学分，军训、社会实践、入学教育、毕业教育等活动按1周为1学分。</w:t>
            </w:r>
          </w:p>
        </w:tc>
      </w:tr>
      <w:tr w14:paraId="7B942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158C4D">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restart"/>
            <w:tcBorders>
              <w:top w:val="single" w:color="000000" w:sz="4" w:space="0"/>
              <w:left w:val="single" w:color="000000" w:sz="4" w:space="0"/>
              <w:bottom w:val="single" w:color="000000" w:sz="4" w:space="0"/>
              <w:right w:val="single" w:color="000000" w:sz="4" w:space="0"/>
            </w:tcBorders>
            <w:noWrap w:val="0"/>
            <w:vAlign w:val="center"/>
          </w:tcPr>
          <w:p w14:paraId="5E8A721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4.2进程安排</w:t>
            </w:r>
          </w:p>
          <w:p w14:paraId="1CDEFB51">
            <w:pPr>
              <w:pStyle w:val="3"/>
              <w:keepNext w:val="0"/>
              <w:keepLines w:val="0"/>
              <w:pageBreakBefore w:val="0"/>
              <w:kinsoku/>
              <w:wordWrap/>
              <w:overflowPunct/>
              <w:topLinePunct w:val="0"/>
              <w:autoSpaceDE/>
              <w:autoSpaceDN/>
              <w:bidi w:val="0"/>
              <w:adjustRightInd/>
              <w:snapToGrid w:val="0"/>
              <w:jc w:val="center"/>
              <w:rPr>
                <w:rFonts w:hint="default" w:ascii="Times New Roman" w:hAnsi="Times New Roman" w:cs="Times New Roman"/>
              </w:rPr>
            </w:pPr>
            <w:r>
              <w:rPr>
                <w:rFonts w:hint="default" w:ascii="Times New Roman" w:hAnsi="Times New Roman" w:eastAsia="仿宋_GB2312" w:cs="Times New Roman"/>
                <w:i w:val="0"/>
                <w:iCs w:val="0"/>
                <w:color w:val="000000"/>
                <w:kern w:val="0"/>
                <w:sz w:val="20"/>
                <w:szCs w:val="20"/>
                <w:u w:val="none"/>
                <w:lang w:val="en-US" w:eastAsia="zh-CN" w:bidi="ar"/>
              </w:rPr>
              <w:t>（15分）</w:t>
            </w: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6295162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①以表格形式体现教学进程安排，表格设计科学合理，各门课程的学时、学分分类统计准确，配套文字说明表达到位。（5分）</w:t>
            </w:r>
          </w:p>
        </w:tc>
      </w:tr>
      <w:tr w14:paraId="7C330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7262B1">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2FE6B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67FDF87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②各门课程之间、各模块之间及理论课与实践课的课时比例计算统计准确，分配科学合理，标注明晰。（5分）</w:t>
            </w:r>
          </w:p>
        </w:tc>
      </w:tr>
      <w:tr w14:paraId="2016D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541DEF">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21FBE2">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rPr>
            </w:pP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59D2047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③课程前后逻辑关系清晰准确，课程序化符合学生学习规律和职业能力成长规律，有利于学生知识、能力和素质的有效提升。（5分）</w:t>
            </w:r>
          </w:p>
        </w:tc>
      </w:tr>
      <w:tr w14:paraId="2F69A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 w:hRule="atLeast"/>
          <w:jc w:val="center"/>
        </w:trPr>
        <w:tc>
          <w:tcPr>
            <w:tcW w:w="1061" w:type="dxa"/>
            <w:vMerge w:val="restart"/>
            <w:tcBorders>
              <w:top w:val="single" w:color="000000" w:sz="4" w:space="0"/>
              <w:left w:val="single" w:color="000000" w:sz="4" w:space="0"/>
              <w:right w:val="single" w:color="000000" w:sz="4" w:space="0"/>
            </w:tcBorders>
            <w:noWrap w:val="0"/>
            <w:vAlign w:val="center"/>
          </w:tcPr>
          <w:p w14:paraId="06349F6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b w:val="0"/>
                <w:bCs w:val="0"/>
                <w:i w:val="0"/>
                <w:iCs w:val="0"/>
                <w:color w:val="000000"/>
                <w:sz w:val="20"/>
                <w:szCs w:val="20"/>
                <w:u w:val="none"/>
                <w:lang w:val="en-US"/>
              </w:rPr>
            </w:pPr>
            <w:r>
              <w:rPr>
                <w:rFonts w:hint="default" w:ascii="Times New Roman" w:hAnsi="Times New Roman" w:eastAsia="仿宋_GB2312" w:cs="Times New Roman"/>
                <w:b/>
                <w:bCs/>
                <w:i w:val="0"/>
                <w:iCs w:val="0"/>
                <w:color w:val="000000"/>
                <w:kern w:val="0"/>
                <w:sz w:val="20"/>
                <w:szCs w:val="20"/>
                <w:u w:val="none"/>
                <w:lang w:val="en-US" w:eastAsia="zh-CN" w:bidi="ar"/>
              </w:rPr>
              <w:t>5.师资保障（12分）</w:t>
            </w:r>
          </w:p>
        </w:tc>
        <w:tc>
          <w:tcPr>
            <w:tcW w:w="1298" w:type="dxa"/>
            <w:tcBorders>
              <w:top w:val="single" w:color="000000" w:sz="4" w:space="0"/>
              <w:left w:val="single" w:color="000000" w:sz="4" w:space="0"/>
              <w:bottom w:val="single" w:color="auto" w:sz="4" w:space="0"/>
              <w:right w:val="single" w:color="000000" w:sz="4" w:space="0"/>
            </w:tcBorders>
            <w:noWrap w:val="0"/>
            <w:vAlign w:val="center"/>
          </w:tcPr>
          <w:p w14:paraId="555572C3">
            <w:pPr>
              <w:pStyle w:val="3"/>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Times New Roman"/>
                <w:lang w:val="en-US" w:eastAsia="zh-CN"/>
              </w:rPr>
            </w:pPr>
            <w:r>
              <w:rPr>
                <w:rFonts w:hint="default" w:ascii="Times New Roman" w:hAnsi="Times New Roman" w:eastAsia="仿宋_GB2312" w:cs="Times New Roman"/>
                <w:i w:val="0"/>
                <w:iCs w:val="0"/>
                <w:color w:val="000000"/>
                <w:kern w:val="0"/>
                <w:sz w:val="20"/>
                <w:szCs w:val="20"/>
                <w:u w:val="none"/>
                <w:lang w:val="en-US" w:eastAsia="zh-CN" w:bidi="ar"/>
              </w:rPr>
              <w:t>5.1基本要求</w:t>
            </w:r>
            <w:r>
              <w:rPr>
                <w:rFonts w:hint="default" w:ascii="Times New Roman" w:hAnsi="Times New Roman" w:eastAsia="仿宋_GB2312" w:cs="Times New Roman"/>
                <w:i w:val="0"/>
                <w:iCs w:val="0"/>
                <w:color w:val="000000"/>
                <w:kern w:val="0"/>
                <w:sz w:val="20"/>
                <w:szCs w:val="20"/>
                <w:u w:val="none"/>
                <w:lang w:val="en-US" w:eastAsia="zh-CN" w:bidi="ar"/>
              </w:rPr>
              <w:br w:type="textWrapping"/>
            </w:r>
            <w:r>
              <w:rPr>
                <w:rFonts w:hint="default" w:ascii="Times New Roman" w:hAnsi="Times New Roman" w:eastAsia="仿宋_GB2312" w:cs="Times New Roman"/>
                <w:i w:val="0"/>
                <w:iCs w:val="0"/>
                <w:color w:val="000000"/>
                <w:kern w:val="0"/>
                <w:sz w:val="20"/>
                <w:szCs w:val="20"/>
                <w:u w:val="none"/>
                <w:lang w:val="en-US" w:eastAsia="zh-CN" w:bidi="ar"/>
              </w:rPr>
              <w:t>（见注）</w:t>
            </w:r>
          </w:p>
        </w:tc>
        <w:tc>
          <w:tcPr>
            <w:tcW w:w="11699" w:type="dxa"/>
            <w:tcBorders>
              <w:top w:val="single" w:color="000000" w:sz="4" w:space="0"/>
              <w:left w:val="single" w:color="000000" w:sz="4" w:space="0"/>
              <w:bottom w:val="single" w:color="auto" w:sz="4" w:space="0"/>
              <w:right w:val="single" w:color="000000" w:sz="4" w:space="0"/>
            </w:tcBorders>
            <w:noWrap w:val="0"/>
            <w:vAlign w:val="center"/>
          </w:tcPr>
          <w:p w14:paraId="5421428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lang w:val="en-US" w:eastAsia="zh-CN"/>
              </w:rPr>
            </w:pPr>
            <w:r>
              <w:rPr>
                <w:rFonts w:hint="default" w:ascii="Times New Roman" w:hAnsi="Times New Roman" w:eastAsia="仿宋_GB2312" w:cs="Times New Roman"/>
                <w:i w:val="0"/>
                <w:iCs w:val="0"/>
                <w:color w:val="000000"/>
                <w:sz w:val="20"/>
                <w:szCs w:val="20"/>
                <w:u w:val="none"/>
                <w:lang w:val="en-US" w:eastAsia="zh-CN"/>
              </w:rPr>
              <w:t>具</w:t>
            </w:r>
            <w:r>
              <w:rPr>
                <w:rFonts w:hint="default" w:ascii="Times New Roman" w:hAnsi="Times New Roman" w:eastAsia="仿宋_GB2312" w:cs="Times New Roman"/>
                <w:i w:val="0"/>
                <w:iCs w:val="0"/>
                <w:color w:val="000000"/>
                <w:kern w:val="0"/>
                <w:sz w:val="20"/>
                <w:szCs w:val="20"/>
                <w:u w:val="none"/>
                <w:lang w:val="en-US" w:eastAsia="zh-CN" w:bidi="ar"/>
              </w:rPr>
              <w:t>备开设专业的基本师资条件，中职具有到相关专业中级职称或技师以上资格的专任教师不少于3人；高职至少配备副高级职称以上的专任教师2人，中级专业技术职务以上的本专业“双师型”专任教师2人。</w:t>
            </w:r>
          </w:p>
        </w:tc>
      </w:tr>
      <w:tr w14:paraId="5B792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 w:hRule="atLeast"/>
          <w:jc w:val="center"/>
        </w:trPr>
        <w:tc>
          <w:tcPr>
            <w:tcW w:w="1061" w:type="dxa"/>
            <w:vMerge w:val="continue"/>
            <w:tcBorders>
              <w:left w:val="single" w:color="000000" w:sz="4" w:space="0"/>
              <w:right w:val="single" w:color="000000" w:sz="4" w:space="0"/>
            </w:tcBorders>
            <w:noWrap w:val="0"/>
            <w:vAlign w:val="center"/>
          </w:tcPr>
          <w:p w14:paraId="5A02C04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b/>
                <w:bCs/>
                <w:i w:val="0"/>
                <w:iCs w:val="0"/>
                <w:color w:val="000000"/>
                <w:kern w:val="0"/>
                <w:sz w:val="20"/>
                <w:szCs w:val="20"/>
                <w:u w:val="none"/>
                <w:lang w:val="en-US" w:eastAsia="zh-CN" w:bidi="ar"/>
              </w:rPr>
            </w:pPr>
          </w:p>
        </w:tc>
        <w:tc>
          <w:tcPr>
            <w:tcW w:w="1298" w:type="dxa"/>
            <w:tcBorders>
              <w:top w:val="single" w:color="000000" w:sz="4" w:space="0"/>
              <w:left w:val="single" w:color="000000" w:sz="4" w:space="0"/>
              <w:bottom w:val="single" w:color="auto" w:sz="4" w:space="0"/>
              <w:right w:val="single" w:color="000000" w:sz="4" w:space="0"/>
            </w:tcBorders>
            <w:noWrap w:val="0"/>
            <w:vAlign w:val="center"/>
          </w:tcPr>
          <w:p w14:paraId="46CD9E4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5.2工作机制</w:t>
            </w:r>
          </w:p>
          <w:p w14:paraId="50E0A6DE">
            <w:pPr>
              <w:pStyle w:val="3"/>
              <w:keepNext w:val="0"/>
              <w:keepLines w:val="0"/>
              <w:pageBreakBefore w:val="0"/>
              <w:kinsoku/>
              <w:wordWrap/>
              <w:overflowPunct/>
              <w:topLinePunct w:val="0"/>
              <w:autoSpaceDE/>
              <w:autoSpaceDN/>
              <w:bidi w:val="0"/>
              <w:adjustRightInd/>
              <w:snapToGrid w:val="0"/>
              <w:jc w:val="center"/>
              <w:rPr>
                <w:rFonts w:hint="default" w:ascii="Times New Roman" w:hAnsi="Times New Roman" w:cs="Times New Roman"/>
                <w:kern w:val="2"/>
                <w:sz w:val="18"/>
                <w:szCs w:val="18"/>
                <w:lang w:val="en-US" w:eastAsia="zh-CN" w:bidi="ar-SA"/>
              </w:rPr>
            </w:pPr>
            <w:r>
              <w:rPr>
                <w:rFonts w:hint="default" w:ascii="Times New Roman" w:hAnsi="Times New Roman" w:eastAsia="仿宋_GB2312" w:cs="Times New Roman"/>
                <w:i w:val="0"/>
                <w:iCs w:val="0"/>
                <w:color w:val="000000"/>
                <w:kern w:val="0"/>
                <w:sz w:val="20"/>
                <w:szCs w:val="20"/>
                <w:u w:val="none"/>
                <w:lang w:val="en-US" w:eastAsia="zh-CN" w:bidi="ar"/>
              </w:rPr>
              <w:t>（4分）</w:t>
            </w:r>
          </w:p>
        </w:tc>
        <w:tc>
          <w:tcPr>
            <w:tcW w:w="11699" w:type="dxa"/>
            <w:tcBorders>
              <w:top w:val="single" w:color="000000" w:sz="4" w:space="0"/>
              <w:left w:val="single" w:color="000000" w:sz="4" w:space="0"/>
              <w:bottom w:val="single" w:color="auto" w:sz="4" w:space="0"/>
              <w:right w:val="single" w:color="000000" w:sz="4" w:space="0"/>
            </w:tcBorders>
            <w:noWrap w:val="0"/>
            <w:vAlign w:val="center"/>
          </w:tcPr>
          <w:p w14:paraId="44105A1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①按照“四有好老师”“四个相统一”“四个引路人”的要求建设专业教师队伍，将师德师风作为教师队伍建设的第一标准。（2分）</w:t>
            </w:r>
          </w:p>
          <w:p w14:paraId="48B006C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left"/>
              <w:textAlignment w:val="center"/>
              <w:rPr>
                <w:rFonts w:hint="default" w:ascii="Times New Roman" w:hAnsi="Times New Roman" w:eastAsia="仿宋_GB2312" w:cs="Times New Roman"/>
                <w:i w:val="0"/>
                <w:iCs w:val="0"/>
                <w:color w:val="000000"/>
                <w:kern w:val="2"/>
                <w:sz w:val="20"/>
                <w:szCs w:val="20"/>
                <w:u w:val="none"/>
                <w:lang w:val="en-US" w:eastAsia="zh-CN" w:bidi="ar-SA"/>
              </w:rPr>
            </w:pPr>
            <w:r>
              <w:rPr>
                <w:rFonts w:hint="default" w:ascii="Times New Roman" w:hAnsi="Times New Roman" w:eastAsia="仿宋_GB2312" w:cs="Times New Roman"/>
                <w:i w:val="0"/>
                <w:iCs w:val="0"/>
                <w:color w:val="000000"/>
                <w:kern w:val="0"/>
                <w:sz w:val="20"/>
                <w:szCs w:val="20"/>
                <w:u w:val="none"/>
                <w:lang w:val="en-US" w:eastAsia="zh-CN" w:bidi="ar"/>
              </w:rPr>
              <w:t>②能够整合校内外优质人才资源，选聘企业高级技术人员担任行业导师，组建校企合作、专兼结合的教师团队，建立定期开展专业（学科）教研机制。（2分）</w:t>
            </w:r>
          </w:p>
        </w:tc>
      </w:tr>
      <w:tr w14:paraId="00419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061" w:type="dxa"/>
            <w:vMerge w:val="continue"/>
            <w:tcBorders>
              <w:left w:val="single" w:color="000000" w:sz="4" w:space="0"/>
              <w:right w:val="single" w:color="000000" w:sz="4" w:space="0"/>
            </w:tcBorders>
            <w:noWrap w:val="0"/>
            <w:vAlign w:val="center"/>
          </w:tcPr>
          <w:p w14:paraId="2AF4A458">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tcBorders>
              <w:top w:val="single" w:color="auto" w:sz="4" w:space="0"/>
              <w:left w:val="single" w:color="000000" w:sz="4" w:space="0"/>
              <w:bottom w:val="single" w:color="auto" w:sz="4" w:space="0"/>
              <w:right w:val="single" w:color="000000" w:sz="4" w:space="0"/>
            </w:tcBorders>
            <w:noWrap w:val="0"/>
            <w:vAlign w:val="center"/>
          </w:tcPr>
          <w:p w14:paraId="539F023A">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lang w:val="en-US" w:eastAsia="zh-CN"/>
              </w:rPr>
            </w:pPr>
            <w:r>
              <w:rPr>
                <w:rFonts w:hint="default" w:ascii="Times New Roman" w:hAnsi="Times New Roman" w:eastAsia="仿宋_GB2312" w:cs="Times New Roman"/>
                <w:i w:val="0"/>
                <w:iCs w:val="0"/>
                <w:color w:val="000000"/>
                <w:sz w:val="20"/>
                <w:szCs w:val="20"/>
                <w:u w:val="none"/>
                <w:lang w:val="en-US" w:eastAsia="zh-CN"/>
              </w:rPr>
              <w:t>5.3专业带头人</w:t>
            </w:r>
            <w:r>
              <w:rPr>
                <w:rFonts w:hint="default" w:ascii="Times New Roman" w:hAnsi="Times New Roman" w:eastAsia="仿宋_GB2312" w:cs="Times New Roman"/>
                <w:i w:val="0"/>
                <w:iCs w:val="0"/>
                <w:color w:val="000000"/>
                <w:kern w:val="0"/>
                <w:sz w:val="20"/>
                <w:szCs w:val="20"/>
                <w:u w:val="none"/>
                <w:lang w:val="en-US" w:eastAsia="zh-CN" w:bidi="ar"/>
              </w:rPr>
              <w:t>（3分）</w:t>
            </w:r>
          </w:p>
        </w:tc>
        <w:tc>
          <w:tcPr>
            <w:tcW w:w="11699" w:type="dxa"/>
            <w:tcBorders>
              <w:top w:val="single" w:color="auto" w:sz="4" w:space="0"/>
              <w:left w:val="single" w:color="000000" w:sz="4" w:space="0"/>
              <w:bottom w:val="single" w:color="auto" w:sz="4" w:space="0"/>
              <w:right w:val="single" w:color="000000" w:sz="4" w:space="0"/>
            </w:tcBorders>
            <w:noWrap w:val="0"/>
            <w:vAlign w:val="center"/>
          </w:tcPr>
          <w:p w14:paraId="1EF6B10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lang w:val="en-US"/>
              </w:rPr>
            </w:pPr>
            <w:r>
              <w:rPr>
                <w:rFonts w:hint="default" w:ascii="Times New Roman" w:hAnsi="Times New Roman" w:eastAsia="仿宋_GB2312" w:cs="Times New Roman"/>
                <w:i w:val="0"/>
                <w:iCs w:val="0"/>
                <w:color w:val="000000"/>
                <w:kern w:val="0"/>
                <w:sz w:val="20"/>
                <w:szCs w:val="20"/>
                <w:u w:val="none"/>
                <w:lang w:val="en-US" w:eastAsia="zh-CN" w:bidi="ar"/>
              </w:rPr>
              <w:t>原则上应具有本专业及相关专业副高及以上职称和较强的实践能力，能广泛联系行业企业，了解国内外行业发展新趋势，准确把握行业企业用人需求，具有组织开展专业建设、教科研工作和企业服务的能力，在本专业改革发展中起引领作用。其中，高职本科专业带头人原则上应是省级及以上教育行政部门等认定的高水平教师教学（科研）创新团队带头人、省级及以上教学名师、高技能人才、技术技能大师，或主持获省级及以上教学领域有关奖励两项以上。（3分）</w:t>
            </w:r>
          </w:p>
        </w:tc>
      </w:tr>
      <w:tr w14:paraId="689C4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061" w:type="dxa"/>
            <w:vMerge w:val="continue"/>
            <w:tcBorders>
              <w:left w:val="single" w:color="000000" w:sz="4" w:space="0"/>
              <w:bottom w:val="single" w:color="auto" w:sz="4" w:space="0"/>
              <w:right w:val="single" w:color="000000" w:sz="4" w:space="0"/>
            </w:tcBorders>
            <w:noWrap w:val="0"/>
            <w:vAlign w:val="center"/>
          </w:tcPr>
          <w:p w14:paraId="7E84BB68">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tcBorders>
              <w:top w:val="single" w:color="auto" w:sz="4" w:space="0"/>
              <w:left w:val="single" w:color="000000" w:sz="4" w:space="0"/>
              <w:bottom w:val="single" w:color="auto" w:sz="4" w:space="0"/>
              <w:right w:val="single" w:color="000000" w:sz="4" w:space="0"/>
            </w:tcBorders>
            <w:noWrap w:val="0"/>
            <w:vAlign w:val="center"/>
          </w:tcPr>
          <w:p w14:paraId="417AE4BA">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i w:val="0"/>
                <w:iCs w:val="0"/>
                <w:color w:val="000000"/>
                <w:sz w:val="20"/>
                <w:szCs w:val="20"/>
                <w:u w:val="none"/>
                <w:lang w:val="en-US" w:eastAsia="zh-CN"/>
              </w:rPr>
            </w:pPr>
            <w:r>
              <w:rPr>
                <w:rFonts w:hint="default" w:ascii="Times New Roman" w:hAnsi="Times New Roman" w:eastAsia="仿宋_GB2312" w:cs="Times New Roman"/>
                <w:i w:val="0"/>
                <w:iCs w:val="0"/>
                <w:color w:val="000000"/>
                <w:sz w:val="20"/>
                <w:szCs w:val="20"/>
                <w:u w:val="none"/>
                <w:lang w:val="en-US" w:eastAsia="zh-CN"/>
              </w:rPr>
              <w:t>5.4队伍结构</w:t>
            </w:r>
            <w:r>
              <w:rPr>
                <w:rFonts w:hint="default" w:ascii="Times New Roman" w:hAnsi="Times New Roman" w:eastAsia="仿宋_GB2312" w:cs="Times New Roman"/>
                <w:i w:val="0"/>
                <w:iCs w:val="0"/>
                <w:color w:val="000000"/>
                <w:kern w:val="0"/>
                <w:sz w:val="20"/>
                <w:szCs w:val="20"/>
                <w:u w:val="none"/>
                <w:lang w:val="en-US" w:eastAsia="zh-CN" w:bidi="ar"/>
              </w:rPr>
              <w:t>（5分）</w:t>
            </w:r>
          </w:p>
        </w:tc>
        <w:tc>
          <w:tcPr>
            <w:tcW w:w="11699" w:type="dxa"/>
            <w:tcBorders>
              <w:top w:val="single" w:color="auto" w:sz="4" w:space="0"/>
              <w:left w:val="single" w:color="000000" w:sz="4" w:space="0"/>
              <w:bottom w:val="single" w:color="000000" w:sz="4" w:space="0"/>
              <w:right w:val="single" w:color="000000" w:sz="4" w:space="0"/>
            </w:tcBorders>
            <w:noWrap w:val="0"/>
            <w:vAlign w:val="center"/>
          </w:tcPr>
          <w:p w14:paraId="0ED8A1D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①专任教师中，学生数与专任教师数比例，中职不高于20:1、高职专科不高于25:1、高职本科不高于20:1；高职专科原则上均为本科及以上学历且硕士学位不低于15%，高职本科均应为本科及以上学历且硕士学位不低于50%、博士学位不低于15%；具有高级专业技术职务人数，中职和高职专科不低于20%，高职本科不低于30%。（2分）</w:t>
            </w:r>
          </w:p>
          <w:p w14:paraId="219FD0F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②“双师型”教师占专业课教师数比例，中职和高职本科应不低于50%，高职专科一般不低于60%。（2分）</w:t>
            </w:r>
          </w:p>
          <w:p w14:paraId="2C2DEE8A">
            <w:pPr>
              <w:pStyle w:val="3"/>
              <w:keepNext w:val="0"/>
              <w:keepLines w:val="0"/>
              <w:pageBreakBefore w:val="0"/>
              <w:kinsoku/>
              <w:wordWrap/>
              <w:overflowPunct/>
              <w:topLinePunct w:val="0"/>
              <w:autoSpaceDE/>
              <w:autoSpaceDN/>
              <w:bidi w:val="0"/>
              <w:adjustRightInd/>
              <w:snapToGrid w:val="0"/>
              <w:rPr>
                <w:rFonts w:hint="default" w:ascii="Times New Roman" w:hAnsi="Times New Roman" w:cs="Times New Roman"/>
                <w:color w:val="000000"/>
                <w:lang w:val="en-US"/>
              </w:rPr>
            </w:pPr>
            <w:r>
              <w:rPr>
                <w:rFonts w:hint="default" w:ascii="Times New Roman" w:hAnsi="Times New Roman" w:eastAsia="仿宋_GB2312" w:cs="Times New Roman"/>
                <w:i w:val="0"/>
                <w:iCs w:val="0"/>
                <w:color w:val="000000"/>
                <w:kern w:val="0"/>
                <w:sz w:val="20"/>
                <w:szCs w:val="20"/>
                <w:u w:val="none"/>
                <w:lang w:val="en-US" w:eastAsia="zh-CN" w:bidi="ar"/>
              </w:rPr>
              <w:t>③兼职教师主要从本专业相关行业企业的高技能人才中聘任，应具有扎实的专业知识和丰富的实际工作经验，一般应具有中级及以上专业技术职务（职称）或高级工及以上职业技能等级，能承担专业课程教学、实习实训指导和学生职业发展规划指导等专业教学任务。其中，高职本科所有兼职教师所承担的本专业教学任务授课课时一般不少于专业课总课时的20%。（1分）</w:t>
            </w:r>
          </w:p>
        </w:tc>
      </w:tr>
      <w:tr w14:paraId="448CA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1061" w:type="dxa"/>
            <w:vMerge w:val="restart"/>
            <w:tcBorders>
              <w:top w:val="single" w:color="auto" w:sz="4" w:space="0"/>
              <w:left w:val="single" w:color="000000" w:sz="4" w:space="0"/>
              <w:right w:val="single" w:color="000000" w:sz="4" w:space="0"/>
            </w:tcBorders>
            <w:noWrap w:val="0"/>
            <w:vAlign w:val="center"/>
          </w:tcPr>
          <w:p w14:paraId="2C7FF614">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lang w:val="en-US" w:eastAsia="zh-CN"/>
              </w:rPr>
            </w:pPr>
            <w:r>
              <w:rPr>
                <w:rFonts w:hint="default" w:ascii="Times New Roman" w:hAnsi="Times New Roman" w:eastAsia="仿宋_GB2312" w:cs="Times New Roman"/>
                <w:b/>
                <w:bCs/>
                <w:i w:val="0"/>
                <w:iCs w:val="0"/>
                <w:color w:val="000000"/>
                <w:sz w:val="20"/>
                <w:szCs w:val="20"/>
                <w:u w:val="none"/>
                <w:lang w:val="en-US" w:eastAsia="zh-CN"/>
              </w:rPr>
              <w:t>6.教学条件（14分）</w:t>
            </w:r>
          </w:p>
        </w:tc>
        <w:tc>
          <w:tcPr>
            <w:tcW w:w="1298" w:type="dxa"/>
            <w:tcBorders>
              <w:top w:val="single" w:color="auto" w:sz="4" w:space="0"/>
              <w:left w:val="single" w:color="000000" w:sz="4" w:space="0"/>
              <w:bottom w:val="single" w:color="000000" w:sz="4" w:space="0"/>
              <w:right w:val="single" w:color="000000" w:sz="4" w:space="0"/>
            </w:tcBorders>
            <w:noWrap w:val="0"/>
            <w:vAlign w:val="center"/>
          </w:tcPr>
          <w:p w14:paraId="2679F9F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6.1教学设施</w:t>
            </w:r>
          </w:p>
          <w:p w14:paraId="7E3468DD">
            <w:pPr>
              <w:pStyle w:val="3"/>
              <w:keepNext w:val="0"/>
              <w:keepLines w:val="0"/>
              <w:pageBreakBefore w:val="0"/>
              <w:kinsoku/>
              <w:wordWrap/>
              <w:overflowPunct/>
              <w:topLinePunct w:val="0"/>
              <w:autoSpaceDE/>
              <w:autoSpaceDN/>
              <w:bidi w:val="0"/>
              <w:adjustRightInd/>
              <w:snapToGrid w:val="0"/>
              <w:jc w:val="center"/>
              <w:rPr>
                <w:rFonts w:hint="default" w:ascii="Times New Roman" w:hAnsi="Times New Roman" w:cs="Times New Roman"/>
                <w:lang w:val="en-US"/>
              </w:rPr>
            </w:pPr>
            <w:r>
              <w:rPr>
                <w:rFonts w:hint="default" w:ascii="Times New Roman" w:hAnsi="Times New Roman" w:eastAsia="仿宋_GB2312" w:cs="Times New Roman"/>
                <w:i w:val="0"/>
                <w:iCs w:val="0"/>
                <w:color w:val="000000"/>
                <w:kern w:val="0"/>
                <w:sz w:val="20"/>
                <w:szCs w:val="20"/>
                <w:u w:val="none"/>
                <w:lang w:val="en-US" w:eastAsia="zh-CN" w:bidi="ar"/>
              </w:rPr>
              <w:t>（8分）</w:t>
            </w: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4DD3EF9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lang w:val="en-US"/>
              </w:rPr>
            </w:pPr>
            <w:r>
              <w:rPr>
                <w:rFonts w:hint="default" w:ascii="Times New Roman" w:hAnsi="Times New Roman" w:eastAsia="仿宋_GB2312" w:cs="Times New Roman"/>
                <w:i w:val="0"/>
                <w:iCs w:val="0"/>
                <w:color w:val="000000"/>
                <w:kern w:val="0"/>
                <w:sz w:val="20"/>
                <w:szCs w:val="20"/>
                <w:u w:val="none"/>
                <w:lang w:val="en-US" w:eastAsia="zh-CN" w:bidi="ar"/>
              </w:rPr>
              <w:t>达到《专业教学标准（2025年修订）》所规定的教学设施配置要求，能满足正常课程教学、实习实训所需的专业教室、实验室、实训室和实训实习基地，能有效支撑课程实施。其中，高职本科专业生均教学科研仪器设备值原则上不低于1万元、高职专科一般不低于0.4万元。（8分）</w:t>
            </w:r>
          </w:p>
        </w:tc>
      </w:tr>
      <w:tr w14:paraId="01D48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jc w:val="center"/>
        </w:trPr>
        <w:tc>
          <w:tcPr>
            <w:tcW w:w="1061" w:type="dxa"/>
            <w:vMerge w:val="continue"/>
            <w:tcBorders>
              <w:left w:val="single" w:color="000000" w:sz="4" w:space="0"/>
              <w:right w:val="single" w:color="000000" w:sz="4" w:space="0"/>
            </w:tcBorders>
            <w:noWrap w:val="0"/>
            <w:vAlign w:val="center"/>
          </w:tcPr>
          <w:p w14:paraId="70BF3331">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3E04C6D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6.2教学资源</w:t>
            </w:r>
          </w:p>
          <w:p w14:paraId="5CC99CF5">
            <w:pPr>
              <w:pStyle w:val="3"/>
              <w:keepNext w:val="0"/>
              <w:keepLines w:val="0"/>
              <w:pageBreakBefore w:val="0"/>
              <w:kinsoku/>
              <w:wordWrap/>
              <w:overflowPunct/>
              <w:topLinePunct w:val="0"/>
              <w:autoSpaceDE/>
              <w:autoSpaceDN/>
              <w:bidi w:val="0"/>
              <w:adjustRightInd/>
              <w:snapToGrid w:val="0"/>
              <w:jc w:val="center"/>
              <w:rPr>
                <w:rFonts w:hint="default" w:ascii="Times New Roman" w:hAnsi="Times New Roman" w:cs="Times New Roman"/>
              </w:rPr>
            </w:pPr>
            <w:r>
              <w:rPr>
                <w:rFonts w:hint="default" w:ascii="Times New Roman" w:hAnsi="Times New Roman" w:eastAsia="仿宋_GB2312" w:cs="Times New Roman"/>
                <w:i w:val="0"/>
                <w:iCs w:val="0"/>
                <w:color w:val="000000"/>
                <w:kern w:val="0"/>
                <w:sz w:val="20"/>
                <w:szCs w:val="20"/>
                <w:u w:val="none"/>
                <w:lang w:val="en-US" w:eastAsia="zh-CN" w:bidi="ar"/>
              </w:rPr>
              <w:t>（4分）</w:t>
            </w: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63E0902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达到《专业教学标准（2025年修订）》所规定的教学资源配置要求，能够满足学生专业学习、教师专业教学研究和教学实施需要的教材、图书及数字化资源等。其中，教材选用方面应按照国家规定，经过规范程序选用教材，优先选用国家规划教材和国家优秀教材。（4分）</w:t>
            </w:r>
          </w:p>
        </w:tc>
      </w:tr>
      <w:tr w14:paraId="026EC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 w:hRule="atLeast"/>
          <w:jc w:val="center"/>
        </w:trPr>
        <w:tc>
          <w:tcPr>
            <w:tcW w:w="1061" w:type="dxa"/>
            <w:vMerge w:val="continue"/>
            <w:tcBorders>
              <w:left w:val="single" w:color="000000" w:sz="4" w:space="0"/>
              <w:bottom w:val="single" w:color="000000" w:sz="4" w:space="0"/>
              <w:right w:val="single" w:color="000000" w:sz="4" w:space="0"/>
            </w:tcBorders>
            <w:noWrap w:val="0"/>
            <w:vAlign w:val="center"/>
          </w:tcPr>
          <w:p w14:paraId="12DBA922">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13429E5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6.3教学方法</w:t>
            </w:r>
          </w:p>
          <w:p w14:paraId="2A78EFA5">
            <w:pPr>
              <w:pStyle w:val="3"/>
              <w:keepNext w:val="0"/>
              <w:keepLines w:val="0"/>
              <w:pageBreakBefore w:val="0"/>
              <w:kinsoku/>
              <w:wordWrap/>
              <w:overflowPunct/>
              <w:topLinePunct w:val="0"/>
              <w:autoSpaceDE/>
              <w:autoSpaceDN/>
              <w:bidi w:val="0"/>
              <w:adjustRightInd/>
              <w:snapToGrid w:val="0"/>
              <w:jc w:val="center"/>
              <w:rPr>
                <w:rFonts w:hint="default" w:ascii="Times New Roman" w:hAnsi="Times New Roman" w:cs="Times New Roman"/>
                <w:lang w:val="en-US" w:eastAsia="zh-CN"/>
              </w:rPr>
            </w:pPr>
            <w:r>
              <w:rPr>
                <w:rFonts w:hint="default" w:ascii="Times New Roman" w:hAnsi="Times New Roman" w:eastAsia="仿宋_GB2312" w:cs="Times New Roman"/>
                <w:i w:val="0"/>
                <w:iCs w:val="0"/>
                <w:color w:val="000000"/>
                <w:kern w:val="0"/>
                <w:sz w:val="20"/>
                <w:szCs w:val="20"/>
                <w:u w:val="none"/>
                <w:lang w:val="en-US" w:eastAsia="zh-CN" w:bidi="ar"/>
              </w:rPr>
              <w:t>（2分）</w:t>
            </w: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49F2856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实施教学所采取的方法明确合理，富有职业教育特点。（2分）</w:t>
            </w:r>
          </w:p>
        </w:tc>
      </w:tr>
      <w:tr w14:paraId="63504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 w:hRule="atLeast"/>
          <w:jc w:val="center"/>
        </w:trPr>
        <w:tc>
          <w:tcPr>
            <w:tcW w:w="1061" w:type="dxa"/>
            <w:vMerge w:val="restart"/>
            <w:tcBorders>
              <w:top w:val="single" w:color="auto" w:sz="4" w:space="0"/>
              <w:left w:val="single" w:color="000000" w:sz="4" w:space="0"/>
              <w:right w:val="single" w:color="000000" w:sz="4" w:space="0"/>
            </w:tcBorders>
            <w:noWrap w:val="0"/>
            <w:vAlign w:val="center"/>
          </w:tcPr>
          <w:p w14:paraId="4455664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Times New Roman" w:hAnsi="Times New Roman" w:eastAsia="仿宋_GB2312" w:cs="Times New Roman"/>
                <w:b/>
                <w:bCs/>
                <w:i w:val="0"/>
                <w:iCs w:val="0"/>
                <w:color w:val="000000"/>
                <w:sz w:val="20"/>
                <w:szCs w:val="20"/>
                <w:u w:val="none"/>
                <w:lang w:val="en-US" w:eastAsia="zh-CN"/>
              </w:rPr>
            </w:pPr>
            <w:r>
              <w:rPr>
                <w:rFonts w:hint="default" w:ascii="Times New Roman" w:hAnsi="Times New Roman" w:eastAsia="仿宋_GB2312" w:cs="Times New Roman"/>
                <w:b/>
                <w:bCs/>
                <w:i w:val="0"/>
                <w:iCs w:val="0"/>
                <w:color w:val="000000"/>
                <w:sz w:val="20"/>
                <w:szCs w:val="20"/>
                <w:u w:val="none"/>
                <w:lang w:val="en-US" w:eastAsia="zh-CN"/>
              </w:rPr>
              <w:t>7.质量保障和毕业要求</w:t>
            </w:r>
          </w:p>
          <w:p w14:paraId="20078C4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Times New Roman" w:hAnsi="Times New Roman" w:eastAsia="仿宋_GB2312" w:cs="Times New Roman"/>
                <w:b/>
                <w:bCs/>
                <w:i w:val="0"/>
                <w:iCs w:val="0"/>
                <w:color w:val="000000"/>
                <w:sz w:val="20"/>
                <w:szCs w:val="20"/>
                <w:u w:val="none"/>
                <w:lang w:val="en-US" w:eastAsia="zh-CN"/>
              </w:rPr>
            </w:pPr>
            <w:r>
              <w:rPr>
                <w:rFonts w:hint="default" w:ascii="Times New Roman" w:hAnsi="Times New Roman" w:eastAsia="仿宋_GB2312" w:cs="Times New Roman"/>
                <w:b/>
                <w:bCs/>
                <w:i w:val="0"/>
                <w:iCs w:val="0"/>
                <w:color w:val="000000"/>
                <w:sz w:val="20"/>
                <w:szCs w:val="20"/>
                <w:u w:val="none"/>
                <w:lang w:val="en-US" w:eastAsia="zh-CN"/>
              </w:rPr>
              <w:t>（9分）</w:t>
            </w:r>
          </w:p>
        </w:tc>
        <w:tc>
          <w:tcPr>
            <w:tcW w:w="1298" w:type="dxa"/>
            <w:vMerge w:val="restart"/>
            <w:tcBorders>
              <w:top w:val="single" w:color="auto" w:sz="4" w:space="0"/>
              <w:left w:val="single" w:color="000000" w:sz="4" w:space="0"/>
              <w:right w:val="single" w:color="000000" w:sz="4" w:space="0"/>
            </w:tcBorders>
            <w:noWrap w:val="0"/>
            <w:vAlign w:val="center"/>
          </w:tcPr>
          <w:p w14:paraId="07E3CA8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7.1质量保障</w:t>
            </w:r>
          </w:p>
          <w:p w14:paraId="0C7CD88E">
            <w:pPr>
              <w:pStyle w:val="3"/>
              <w:keepNext w:val="0"/>
              <w:keepLines w:val="0"/>
              <w:pageBreakBefore w:val="0"/>
              <w:kinsoku/>
              <w:wordWrap/>
              <w:overflowPunct/>
              <w:topLinePunct w:val="0"/>
              <w:autoSpaceDE/>
              <w:autoSpaceDN/>
              <w:bidi w:val="0"/>
              <w:adjustRightInd/>
              <w:snapToGrid w:val="0"/>
              <w:jc w:val="center"/>
              <w:rPr>
                <w:rFonts w:hint="default" w:ascii="Times New Roman" w:hAnsi="Times New Roman" w:cs="Times New Roman"/>
                <w:lang w:val="en-US"/>
              </w:rPr>
            </w:pPr>
            <w:r>
              <w:rPr>
                <w:rFonts w:hint="default" w:ascii="Times New Roman" w:hAnsi="Times New Roman" w:eastAsia="仿宋_GB2312" w:cs="Times New Roman"/>
                <w:i w:val="0"/>
                <w:iCs w:val="0"/>
                <w:color w:val="000000"/>
                <w:kern w:val="0"/>
                <w:sz w:val="20"/>
                <w:szCs w:val="20"/>
                <w:u w:val="none"/>
                <w:lang w:val="en-US" w:eastAsia="zh-CN" w:bidi="ar"/>
              </w:rPr>
              <w:t>（6分）</w:t>
            </w:r>
          </w:p>
        </w:tc>
        <w:tc>
          <w:tcPr>
            <w:tcW w:w="11699" w:type="dxa"/>
            <w:tcBorders>
              <w:top w:val="single" w:color="auto" w:sz="4" w:space="0"/>
              <w:left w:val="single" w:color="000000" w:sz="4" w:space="0"/>
              <w:bottom w:val="single" w:color="000000" w:sz="4" w:space="0"/>
              <w:right w:val="single" w:color="000000" w:sz="4" w:space="0"/>
            </w:tcBorders>
            <w:noWrap w:val="0"/>
            <w:vAlign w:val="center"/>
          </w:tcPr>
          <w:p w14:paraId="403CB1E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sz w:val="20"/>
                <w:szCs w:val="20"/>
                <w:u w:val="none"/>
              </w:rPr>
            </w:pPr>
            <w:r>
              <w:rPr>
                <w:rFonts w:hint="default" w:ascii="Times New Roman" w:hAnsi="Times New Roman" w:eastAsia="仿宋_GB2312" w:cs="Times New Roman"/>
                <w:i w:val="0"/>
                <w:iCs w:val="0"/>
                <w:color w:val="000000"/>
                <w:kern w:val="0"/>
                <w:sz w:val="20"/>
                <w:szCs w:val="20"/>
                <w:u w:val="none"/>
                <w:lang w:val="en-US" w:eastAsia="zh-CN" w:bidi="ar"/>
              </w:rPr>
              <w:t>①健全教学质量监控管理，改进结果评价，强化过程评价，探索增值评价，健全综合评价。（2分）</w:t>
            </w:r>
          </w:p>
        </w:tc>
      </w:tr>
      <w:tr w14:paraId="69CF8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 w:hRule="atLeast"/>
          <w:jc w:val="center"/>
        </w:trPr>
        <w:tc>
          <w:tcPr>
            <w:tcW w:w="1061" w:type="dxa"/>
            <w:vMerge w:val="continue"/>
            <w:tcBorders>
              <w:left w:val="single" w:color="000000" w:sz="4" w:space="0"/>
              <w:right w:val="single" w:color="000000" w:sz="4" w:space="0"/>
            </w:tcBorders>
            <w:noWrap w:val="0"/>
            <w:vAlign w:val="center"/>
          </w:tcPr>
          <w:p w14:paraId="13771F3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lang w:val="en-US" w:eastAsia="zh-CN"/>
              </w:rPr>
            </w:pPr>
          </w:p>
        </w:tc>
        <w:tc>
          <w:tcPr>
            <w:tcW w:w="1298" w:type="dxa"/>
            <w:vMerge w:val="continue"/>
            <w:tcBorders>
              <w:left w:val="single" w:color="000000" w:sz="4" w:space="0"/>
              <w:right w:val="single" w:color="000000" w:sz="4" w:space="0"/>
            </w:tcBorders>
            <w:noWrap w:val="0"/>
            <w:vAlign w:val="center"/>
          </w:tcPr>
          <w:p w14:paraId="337C39A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p>
        </w:tc>
        <w:tc>
          <w:tcPr>
            <w:tcW w:w="11699" w:type="dxa"/>
            <w:tcBorders>
              <w:top w:val="single" w:color="auto" w:sz="4" w:space="0"/>
              <w:left w:val="single" w:color="000000" w:sz="4" w:space="0"/>
              <w:bottom w:val="single" w:color="000000" w:sz="4" w:space="0"/>
              <w:right w:val="single" w:color="000000" w:sz="4" w:space="0"/>
            </w:tcBorders>
            <w:noWrap w:val="0"/>
            <w:vAlign w:val="center"/>
          </w:tcPr>
          <w:p w14:paraId="4DC62B6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②建设专业教研组织，建立线上线下相结合的集中备课制度和定期召开教学研讨会议制度。（2分）</w:t>
            </w:r>
          </w:p>
        </w:tc>
      </w:tr>
      <w:tr w14:paraId="5DAD5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061" w:type="dxa"/>
            <w:vMerge w:val="continue"/>
            <w:tcBorders>
              <w:left w:val="single" w:color="000000" w:sz="4" w:space="0"/>
              <w:right w:val="single" w:color="000000" w:sz="4" w:space="0"/>
            </w:tcBorders>
            <w:noWrap w:val="0"/>
            <w:vAlign w:val="center"/>
          </w:tcPr>
          <w:p w14:paraId="6360BB1A">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lang w:val="en-US" w:eastAsia="zh-CN"/>
              </w:rPr>
            </w:pPr>
          </w:p>
        </w:tc>
        <w:tc>
          <w:tcPr>
            <w:tcW w:w="1298" w:type="dxa"/>
            <w:vMerge w:val="continue"/>
            <w:tcBorders>
              <w:left w:val="single" w:color="000000" w:sz="4" w:space="0"/>
              <w:bottom w:val="single" w:color="000000" w:sz="4" w:space="0"/>
              <w:right w:val="single" w:color="000000" w:sz="4" w:space="0"/>
            </w:tcBorders>
            <w:noWrap w:val="0"/>
            <w:vAlign w:val="center"/>
          </w:tcPr>
          <w:p w14:paraId="0EA6235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p>
        </w:tc>
        <w:tc>
          <w:tcPr>
            <w:tcW w:w="11699" w:type="dxa"/>
            <w:tcBorders>
              <w:top w:val="single" w:color="auto" w:sz="4" w:space="0"/>
              <w:left w:val="single" w:color="000000" w:sz="4" w:space="0"/>
              <w:bottom w:val="single" w:color="000000" w:sz="4" w:space="0"/>
              <w:right w:val="single" w:color="000000" w:sz="4" w:space="0"/>
            </w:tcBorders>
            <w:noWrap w:val="0"/>
            <w:vAlign w:val="center"/>
          </w:tcPr>
          <w:p w14:paraId="08B4468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left"/>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③建立毕业生跟踪反馈和社会评价机制，定期分析人才培养目标的达成情况。（2分）</w:t>
            </w:r>
          </w:p>
        </w:tc>
      </w:tr>
      <w:tr w14:paraId="594A8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jc w:val="center"/>
        </w:trPr>
        <w:tc>
          <w:tcPr>
            <w:tcW w:w="10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607E6E">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5E11437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7.2毕业要求</w:t>
            </w:r>
          </w:p>
          <w:p w14:paraId="3F07AA6A">
            <w:pPr>
              <w:pStyle w:val="3"/>
              <w:keepNext w:val="0"/>
              <w:keepLines w:val="0"/>
              <w:pageBreakBefore w:val="0"/>
              <w:kinsoku/>
              <w:wordWrap/>
              <w:overflowPunct/>
              <w:topLinePunct w:val="0"/>
              <w:autoSpaceDE/>
              <w:autoSpaceDN/>
              <w:bidi w:val="0"/>
              <w:adjustRightInd/>
              <w:snapToGrid w:val="0"/>
              <w:jc w:val="center"/>
              <w:rPr>
                <w:rFonts w:hint="default" w:ascii="Times New Roman" w:hAnsi="Times New Roman" w:cs="Times New Roman"/>
              </w:rPr>
            </w:pPr>
            <w:r>
              <w:rPr>
                <w:rFonts w:hint="default" w:ascii="Times New Roman" w:hAnsi="Times New Roman" w:eastAsia="仿宋_GB2312" w:cs="Times New Roman"/>
                <w:i w:val="0"/>
                <w:iCs w:val="0"/>
                <w:color w:val="000000"/>
                <w:kern w:val="0"/>
                <w:sz w:val="20"/>
                <w:szCs w:val="20"/>
                <w:u w:val="none"/>
                <w:lang w:val="en-US" w:eastAsia="zh-CN" w:bidi="ar"/>
              </w:rPr>
              <w:t>（3分）</w:t>
            </w: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56088016">
            <w:pPr>
              <w:pStyle w:val="3"/>
              <w:keepNext w:val="0"/>
              <w:keepLines w:val="0"/>
              <w:pageBreakBefore w:val="0"/>
              <w:kinsoku/>
              <w:wordWrap/>
              <w:overflowPunct/>
              <w:topLinePunct w:val="0"/>
              <w:autoSpaceDE/>
              <w:autoSpaceDN/>
              <w:bidi w:val="0"/>
              <w:adjustRightInd/>
              <w:snapToGrid w:val="0"/>
              <w:rPr>
                <w:rFonts w:hint="default" w:ascii="Times New Roman" w:hAnsi="Times New Roman" w:eastAsia="仿宋_GB2312" w:cs="Times New Roman"/>
                <w:b w:val="0"/>
                <w:i w:val="0"/>
                <w:caps w:val="0"/>
                <w:color w:val="000000"/>
                <w:spacing w:val="0"/>
                <w:kern w:val="0"/>
                <w:sz w:val="20"/>
                <w:szCs w:val="20"/>
                <w:u w:val="none"/>
                <w:shd w:val="clear" w:color="auto" w:fill="auto"/>
                <w:lang w:eastAsia="zh-CN" w:bidi="ar"/>
              </w:rPr>
            </w:pPr>
            <w:r>
              <w:rPr>
                <w:rFonts w:hint="default" w:ascii="Times New Roman" w:hAnsi="Times New Roman" w:eastAsia="仿宋_GB2312" w:cs="Times New Roman"/>
                <w:i w:val="0"/>
                <w:iCs w:val="0"/>
                <w:color w:val="000000"/>
                <w:kern w:val="0"/>
                <w:sz w:val="20"/>
                <w:szCs w:val="20"/>
                <w:u w:val="none"/>
                <w:lang w:val="en-US" w:eastAsia="zh-CN" w:bidi="ar"/>
              </w:rPr>
              <w:t>学生毕业要求明确合理。</w:t>
            </w:r>
            <w:r>
              <w:rPr>
                <w:rFonts w:hint="default" w:ascii="Times New Roman" w:hAnsi="Times New Roman" w:eastAsia="仿宋_GB2312" w:cs="Times New Roman"/>
                <w:b w:val="0"/>
                <w:i w:val="0"/>
                <w:caps w:val="0"/>
                <w:color w:val="000000"/>
                <w:spacing w:val="0"/>
                <w:kern w:val="0"/>
                <w:sz w:val="20"/>
                <w:szCs w:val="20"/>
                <w:u w:val="none"/>
                <w:shd w:val="clear" w:color="auto" w:fill="auto"/>
                <w:lang w:bidi="ar"/>
              </w:rPr>
              <w:t>根据国家有关规定、专业培养目标和培养规格，</w:t>
            </w:r>
            <w:r>
              <w:rPr>
                <w:rFonts w:hint="default" w:ascii="Times New Roman" w:hAnsi="Times New Roman" w:eastAsia="仿宋_GB2312" w:cs="Times New Roman"/>
                <w:b w:val="0"/>
                <w:i w:val="0"/>
                <w:caps w:val="0"/>
                <w:color w:val="000000"/>
                <w:spacing w:val="0"/>
                <w:kern w:val="0"/>
                <w:sz w:val="20"/>
                <w:szCs w:val="20"/>
                <w:u w:val="none"/>
                <w:shd w:val="clear" w:color="auto" w:fill="auto"/>
                <w:lang w:eastAsia="zh-CN" w:bidi="ar"/>
              </w:rPr>
              <w:t>全部课程考核合格或修满学分准予毕业。学校应结合实际细化、明确学习和考核要求。</w:t>
            </w:r>
            <w:r>
              <w:rPr>
                <w:rFonts w:hint="default" w:ascii="Times New Roman" w:hAnsi="Times New Roman" w:eastAsia="仿宋_GB2312" w:cs="Times New Roman"/>
                <w:b w:val="0"/>
                <w:i w:val="0"/>
                <w:caps w:val="0"/>
                <w:color w:val="000000"/>
                <w:spacing w:val="0"/>
                <w:kern w:val="0"/>
                <w:sz w:val="20"/>
                <w:szCs w:val="20"/>
                <w:u w:val="none"/>
                <w:shd w:val="clear" w:color="auto" w:fill="auto"/>
                <w:lang w:val="en-US" w:eastAsia="zh-CN" w:bidi="ar"/>
              </w:rPr>
              <w:t>其中，</w:t>
            </w:r>
            <w:r>
              <w:rPr>
                <w:rFonts w:hint="default" w:ascii="Times New Roman" w:hAnsi="Times New Roman" w:eastAsia="仿宋_GB2312" w:cs="Times New Roman"/>
                <w:b w:val="0"/>
                <w:i w:val="0"/>
                <w:caps w:val="0"/>
                <w:color w:val="000000"/>
                <w:spacing w:val="0"/>
                <w:kern w:val="0"/>
                <w:sz w:val="20"/>
                <w:szCs w:val="20"/>
                <w:u w:val="none"/>
                <w:shd w:val="clear" w:color="auto" w:fill="auto"/>
                <w:lang w:eastAsia="zh-CN" w:bidi="ar"/>
              </w:rPr>
              <w:t>高职本科专业一般不要求学生撰写毕业论文，将工艺改进、产品（服务）设计、技术（服务）创新、技艺展示、专利研发等作为毕业设计（创作）的重要内容。（</w:t>
            </w:r>
            <w:r>
              <w:rPr>
                <w:rFonts w:hint="default" w:ascii="Times New Roman" w:hAnsi="Times New Roman" w:eastAsia="仿宋_GB2312" w:cs="Times New Roman"/>
                <w:b w:val="0"/>
                <w:i w:val="0"/>
                <w:caps w:val="0"/>
                <w:color w:val="000000"/>
                <w:spacing w:val="0"/>
                <w:kern w:val="0"/>
                <w:sz w:val="20"/>
                <w:szCs w:val="20"/>
                <w:u w:val="none"/>
                <w:shd w:val="clear" w:color="auto" w:fill="auto"/>
                <w:lang w:val="en-US" w:eastAsia="zh-CN" w:bidi="ar"/>
              </w:rPr>
              <w:t>3分</w:t>
            </w:r>
            <w:r>
              <w:rPr>
                <w:rFonts w:hint="default" w:ascii="Times New Roman" w:hAnsi="Times New Roman" w:eastAsia="仿宋_GB2312" w:cs="Times New Roman"/>
                <w:b w:val="0"/>
                <w:i w:val="0"/>
                <w:caps w:val="0"/>
                <w:color w:val="000000"/>
                <w:spacing w:val="0"/>
                <w:kern w:val="0"/>
                <w:sz w:val="20"/>
                <w:szCs w:val="20"/>
                <w:u w:val="none"/>
                <w:shd w:val="clear" w:color="auto" w:fill="auto"/>
                <w:lang w:eastAsia="zh-CN" w:bidi="ar"/>
              </w:rPr>
              <w:t>）</w:t>
            </w:r>
          </w:p>
        </w:tc>
      </w:tr>
      <w:tr w14:paraId="4C6A9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jc w:val="center"/>
        </w:trPr>
        <w:tc>
          <w:tcPr>
            <w:tcW w:w="1061" w:type="dxa"/>
            <w:tcBorders>
              <w:top w:val="single" w:color="000000" w:sz="4" w:space="0"/>
              <w:left w:val="single" w:color="000000" w:sz="4" w:space="0"/>
              <w:bottom w:val="single" w:color="000000" w:sz="4" w:space="0"/>
              <w:right w:val="single" w:color="000000" w:sz="4" w:space="0"/>
            </w:tcBorders>
            <w:noWrap w:val="0"/>
            <w:vAlign w:val="center"/>
          </w:tcPr>
          <w:p w14:paraId="3EBB1BB2">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jc w:val="center"/>
              <w:rPr>
                <w:rFonts w:hint="default" w:ascii="Times New Roman" w:hAnsi="Times New Roman" w:eastAsia="仿宋_GB2312" w:cs="Times New Roman"/>
                <w:b/>
                <w:bCs/>
                <w:i w:val="0"/>
                <w:iCs w:val="0"/>
                <w:color w:val="000000"/>
                <w:sz w:val="20"/>
                <w:szCs w:val="20"/>
                <w:u w:val="none"/>
                <w:lang w:val="en-US" w:eastAsia="zh-CN"/>
              </w:rPr>
            </w:pPr>
            <w:r>
              <w:rPr>
                <w:rFonts w:hint="default" w:ascii="Times New Roman" w:hAnsi="Times New Roman" w:eastAsia="仿宋_GB2312" w:cs="Times New Roman"/>
                <w:b/>
                <w:bCs/>
                <w:i w:val="0"/>
                <w:iCs w:val="0"/>
                <w:color w:val="000000"/>
                <w:sz w:val="20"/>
                <w:szCs w:val="20"/>
                <w:u w:val="none"/>
                <w:lang w:val="en-US" w:eastAsia="zh-CN"/>
              </w:rPr>
              <w:t>8.办学特色（5分）</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4C8696DA">
            <w:pPr>
              <w:pStyle w:val="3"/>
              <w:keepNext w:val="0"/>
              <w:keepLines w:val="0"/>
              <w:pageBreakBefore w:val="0"/>
              <w:kinsoku/>
              <w:wordWrap/>
              <w:overflowPunct/>
              <w:topLinePunct w:val="0"/>
              <w:autoSpaceDE/>
              <w:autoSpaceDN/>
              <w:bidi w:val="0"/>
              <w:adjustRightInd/>
              <w:snapToGrid w:val="0"/>
              <w:jc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8.1办学特色</w:t>
            </w:r>
          </w:p>
          <w:p w14:paraId="29AC0834">
            <w:pPr>
              <w:pStyle w:val="3"/>
              <w:keepNext w:val="0"/>
              <w:keepLines w:val="0"/>
              <w:pageBreakBefore w:val="0"/>
              <w:kinsoku/>
              <w:wordWrap/>
              <w:overflowPunct/>
              <w:topLinePunct w:val="0"/>
              <w:autoSpaceDE/>
              <w:autoSpaceDN/>
              <w:bidi w:val="0"/>
              <w:adjustRightInd/>
              <w:snapToGrid w:val="0"/>
              <w:jc w:val="center"/>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（5分）</w:t>
            </w:r>
          </w:p>
        </w:tc>
        <w:tc>
          <w:tcPr>
            <w:tcW w:w="11699" w:type="dxa"/>
            <w:tcBorders>
              <w:top w:val="single" w:color="000000" w:sz="4" w:space="0"/>
              <w:left w:val="single" w:color="000000" w:sz="4" w:space="0"/>
              <w:bottom w:val="single" w:color="000000" w:sz="4" w:space="0"/>
              <w:right w:val="single" w:color="000000" w:sz="4" w:space="0"/>
            </w:tcBorders>
            <w:noWrap w:val="0"/>
            <w:vAlign w:val="center"/>
          </w:tcPr>
          <w:p w14:paraId="4317A117">
            <w:pPr>
              <w:pStyle w:val="3"/>
              <w:keepNext w:val="0"/>
              <w:keepLines w:val="0"/>
              <w:pageBreakBefore w:val="0"/>
              <w:kinsoku/>
              <w:wordWrap/>
              <w:overflowPunct/>
              <w:topLinePunct w:val="0"/>
              <w:autoSpaceDE/>
              <w:autoSpaceDN/>
              <w:bidi w:val="0"/>
              <w:adjustRightInd/>
              <w:snapToGrid w:val="0"/>
              <w:rPr>
                <w:rFonts w:hint="default" w:ascii="Times New Roman" w:hAnsi="Times New Roman" w:eastAsia="仿宋_GB2312" w:cs="Times New Roman"/>
                <w:i w:val="0"/>
                <w:iCs w:val="0"/>
                <w:color w:val="000000"/>
                <w:kern w:val="0"/>
                <w:sz w:val="20"/>
                <w:szCs w:val="20"/>
                <w:u w:val="none"/>
                <w:lang w:val="en-US" w:eastAsia="zh-CN" w:bidi="ar"/>
              </w:rPr>
            </w:pPr>
            <w:r>
              <w:rPr>
                <w:rFonts w:hint="default" w:ascii="Times New Roman" w:hAnsi="Times New Roman" w:eastAsia="仿宋_GB2312" w:cs="Times New Roman"/>
                <w:i w:val="0"/>
                <w:iCs w:val="0"/>
                <w:color w:val="000000"/>
                <w:kern w:val="0"/>
                <w:sz w:val="20"/>
                <w:szCs w:val="20"/>
                <w:u w:val="none"/>
                <w:lang w:val="en-US" w:eastAsia="zh-CN" w:bidi="ar"/>
              </w:rPr>
              <w:t>本专业</w:t>
            </w:r>
            <w:r>
              <w:rPr>
                <w:rFonts w:hint="default" w:ascii="Times New Roman" w:hAnsi="Times New Roman" w:eastAsia="仿宋_GB2312" w:cs="Times New Roman"/>
                <w:b w:val="0"/>
                <w:i w:val="0"/>
                <w:caps w:val="0"/>
                <w:color w:val="000000"/>
                <w:spacing w:val="0"/>
                <w:kern w:val="0"/>
                <w:sz w:val="20"/>
                <w:szCs w:val="20"/>
                <w:u w:val="none"/>
                <w:shd w:val="clear" w:color="auto" w:fill="auto"/>
                <w:lang w:val="en-US" w:eastAsia="zh-CN" w:bidi="ar"/>
              </w:rPr>
              <w:t>能</w:t>
            </w:r>
            <w:r>
              <w:rPr>
                <w:rFonts w:hint="default" w:ascii="Times New Roman" w:hAnsi="Times New Roman" w:eastAsia="仿宋_GB2312" w:cs="Times New Roman"/>
                <w:b w:val="0"/>
                <w:i w:val="0"/>
                <w:caps w:val="0"/>
                <w:color w:val="000000"/>
                <w:spacing w:val="0"/>
                <w:kern w:val="0"/>
                <w:sz w:val="20"/>
                <w:szCs w:val="20"/>
                <w:u w:val="none"/>
                <w:shd w:val="clear" w:color="auto" w:fill="auto"/>
                <w:lang w:eastAsia="zh-CN" w:bidi="ar"/>
              </w:rPr>
              <w:t>紧跟</w:t>
            </w:r>
            <w:r>
              <w:rPr>
                <w:rFonts w:hint="default" w:ascii="Times New Roman" w:hAnsi="Times New Roman" w:eastAsia="仿宋_GB2312" w:cs="Times New Roman"/>
                <w:b w:val="0"/>
                <w:i w:val="0"/>
                <w:caps w:val="0"/>
                <w:color w:val="000000"/>
                <w:spacing w:val="0"/>
                <w:kern w:val="0"/>
                <w:sz w:val="20"/>
                <w:szCs w:val="20"/>
                <w:u w:val="none"/>
                <w:shd w:val="clear" w:color="auto" w:fill="auto"/>
                <w:lang w:val="en-US" w:eastAsia="zh-CN" w:bidi="ar"/>
              </w:rPr>
              <w:t>区域产业优势和</w:t>
            </w:r>
            <w:r>
              <w:rPr>
                <w:rFonts w:hint="default" w:ascii="Times New Roman" w:hAnsi="Times New Roman" w:eastAsia="仿宋_GB2312" w:cs="Times New Roman"/>
                <w:b w:val="0"/>
                <w:i w:val="0"/>
                <w:caps w:val="0"/>
                <w:color w:val="000000"/>
                <w:spacing w:val="0"/>
                <w:kern w:val="0"/>
                <w:sz w:val="20"/>
                <w:szCs w:val="20"/>
                <w:u w:val="none"/>
                <w:shd w:val="clear" w:color="auto" w:fill="auto"/>
                <w:lang w:eastAsia="zh-CN" w:bidi="ar"/>
              </w:rPr>
              <w:t>行业需求，</w:t>
            </w:r>
            <w:r>
              <w:rPr>
                <w:rFonts w:hint="default" w:ascii="Times New Roman" w:hAnsi="Times New Roman" w:eastAsia="仿宋_GB2312" w:cs="Times New Roman"/>
                <w:b w:val="0"/>
                <w:i w:val="0"/>
                <w:caps w:val="0"/>
                <w:color w:val="000000"/>
                <w:spacing w:val="0"/>
                <w:kern w:val="0"/>
                <w:sz w:val="20"/>
                <w:szCs w:val="20"/>
                <w:u w:val="none"/>
                <w:shd w:val="clear" w:color="auto" w:fill="auto"/>
                <w:lang w:val="en-US" w:eastAsia="zh-CN" w:bidi="ar"/>
              </w:rPr>
              <w:t>及时调整人才培养方案，培养目标、培养规格、课程体系、教学条件等要素能与时俱进，突出校本特色，专业辨识度高，打造具有区域特色的专业品牌。</w:t>
            </w:r>
          </w:p>
        </w:tc>
      </w:tr>
    </w:tbl>
    <w:p w14:paraId="1BDAAA0A">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_GB2312" w:cs="Times New Roman"/>
          <w:b w:val="0"/>
          <w:i w:val="0"/>
          <w:caps w:val="0"/>
          <w:color w:val="000000"/>
          <w:spacing w:val="0"/>
          <w:kern w:val="0"/>
          <w:sz w:val="20"/>
          <w:szCs w:val="20"/>
          <w:u w:val="none"/>
          <w:shd w:val="clear" w:color="auto" w:fill="auto"/>
          <w:lang w:val="en-US" w:eastAsia="zh-CN" w:bidi="ar"/>
        </w:rPr>
        <w:t>注：存在专业名称有误、公共基础课程未开齐开足、各类学时比例不达标等基础性问题的人才培养方案原则上评价为“不合格”。</w:t>
      </w:r>
    </w:p>
    <w:p w14:paraId="1595F53F">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32"/>
          <w:szCs w:val="32"/>
          <w:lang w:val="en-US" w:eastAsia="zh-CN"/>
        </w:rPr>
      </w:pPr>
    </w:p>
    <w:p w14:paraId="1B01C33B">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32"/>
          <w:szCs w:val="32"/>
          <w:lang w:val="en-US" w:eastAsia="zh-CN"/>
        </w:rPr>
      </w:pPr>
    </w:p>
    <w:p w14:paraId="1FA1E343">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32"/>
          <w:szCs w:val="32"/>
          <w:lang w:val="en-US" w:eastAsia="zh-CN"/>
        </w:rPr>
      </w:pPr>
    </w:p>
    <w:p w14:paraId="361D3F9C">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32"/>
          <w:szCs w:val="32"/>
          <w:lang w:val="en-US" w:eastAsia="zh-CN"/>
        </w:rPr>
      </w:pPr>
    </w:p>
    <w:p w14:paraId="316BD83B">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32"/>
          <w:szCs w:val="32"/>
          <w:lang w:val="en-US" w:eastAsia="zh-CN"/>
        </w:rPr>
      </w:pPr>
    </w:p>
    <w:p w14:paraId="789BAD91">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32"/>
          <w:szCs w:val="32"/>
          <w:lang w:val="en-US" w:eastAsia="zh-CN"/>
        </w:rPr>
      </w:pPr>
    </w:p>
    <w:p w14:paraId="5CEE517F">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32"/>
          <w:szCs w:val="32"/>
          <w:lang w:val="en-US" w:eastAsia="zh-CN"/>
        </w:rPr>
        <w:sectPr>
          <w:headerReference r:id="rId3" w:type="default"/>
          <w:footerReference r:id="rId4" w:type="default"/>
          <w:footnotePr>
            <w:numFmt w:val="decimal"/>
            <w:numRestart w:val="eachSect"/>
          </w:footnotePr>
          <w:pgSz w:w="16838" w:h="11906" w:orient="landscape"/>
          <w:pgMar w:top="1587" w:right="2098" w:bottom="1474" w:left="1984" w:header="851" w:footer="1928" w:gutter="0"/>
          <w:pgNumType w:fmt="numberInDash"/>
          <w:cols w:space="720" w:num="1"/>
          <w:rtlGutter w:val="0"/>
          <w:docGrid w:type="lines" w:linePitch="315" w:charSpace="0"/>
        </w:sectPr>
      </w:pPr>
    </w:p>
    <w:p w14:paraId="0F74095B">
      <w:pPr>
        <w:pStyle w:val="3"/>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黑体" w:cs="Times New Roman"/>
          <w:color w:val="000000"/>
          <w:kern w:val="0"/>
          <w:sz w:val="32"/>
          <w:szCs w:val="32"/>
          <w:u w:val="none"/>
          <w:shd w:val="clear" w:color="auto" w:fill="FFFFFF"/>
          <w:lang w:val="en-US" w:eastAsia="zh-CN" w:bidi="ar-SA"/>
        </w:rPr>
      </w:pPr>
      <w:r>
        <w:rPr>
          <w:rFonts w:hint="default" w:ascii="Times New Roman" w:hAnsi="Times New Roman" w:eastAsia="黑体" w:cs="Times New Roman"/>
          <w:color w:val="000000"/>
          <w:kern w:val="0"/>
          <w:sz w:val="32"/>
          <w:szCs w:val="32"/>
          <w:shd w:val="clear" w:color="auto" w:fill="FFFFFF"/>
          <w:lang w:val="en-US" w:eastAsia="zh-CN" w:bidi="ar-SA"/>
        </w:rPr>
        <w:t>附件</w:t>
      </w:r>
      <w:r>
        <w:rPr>
          <w:rFonts w:hint="eastAsia" w:ascii="Times New Roman" w:hAnsi="Times New Roman" w:eastAsia="黑体" w:cs="Times New Roman"/>
          <w:color w:val="000000"/>
          <w:kern w:val="0"/>
          <w:sz w:val="32"/>
          <w:szCs w:val="32"/>
          <w:shd w:val="clear" w:color="auto" w:fill="FFFFFF"/>
          <w:lang w:val="en-US" w:eastAsia="zh-CN" w:bidi="ar-SA"/>
        </w:rPr>
        <w:t>2</w:t>
      </w:r>
    </w:p>
    <w:p w14:paraId="22CE8CBD">
      <w:pPr>
        <w:pStyle w:val="3"/>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简体" w:cs="Times New Roman"/>
          <w:b w:val="0"/>
          <w:bCs w:val="0"/>
          <w:color w:val="000000"/>
          <w:sz w:val="44"/>
          <w:szCs w:val="44"/>
          <w:shd w:val="clear" w:color="auto" w:fill="FFFFFF"/>
          <w:lang w:val="en-US" w:eastAsia="zh-CN"/>
        </w:rPr>
      </w:pPr>
      <w:r>
        <w:rPr>
          <w:rFonts w:hint="default" w:ascii="Times New Roman" w:hAnsi="Times New Roman" w:eastAsia="方正小标宋简体" w:cs="Times New Roman"/>
          <w:b w:val="0"/>
          <w:bCs w:val="0"/>
          <w:color w:val="000000"/>
          <w:sz w:val="44"/>
          <w:szCs w:val="44"/>
          <w:shd w:val="clear" w:color="auto" w:fill="FFFFFF"/>
          <w:lang w:val="en-US" w:eastAsia="zh-CN"/>
        </w:rPr>
        <w:t>202</w:t>
      </w:r>
      <w:r>
        <w:rPr>
          <w:rFonts w:hint="eastAsia" w:ascii="Times New Roman" w:hAnsi="Times New Roman" w:eastAsia="方正小标宋简体" w:cs="Times New Roman"/>
          <w:b w:val="0"/>
          <w:bCs w:val="0"/>
          <w:color w:val="000000"/>
          <w:sz w:val="44"/>
          <w:szCs w:val="44"/>
          <w:shd w:val="clear" w:color="auto" w:fill="FFFFFF"/>
          <w:lang w:val="en-US" w:eastAsia="zh-CN"/>
        </w:rPr>
        <w:t>6</w:t>
      </w:r>
      <w:r>
        <w:rPr>
          <w:rFonts w:hint="default" w:ascii="Times New Roman" w:hAnsi="Times New Roman" w:eastAsia="方正小标宋简体" w:cs="Times New Roman"/>
          <w:b w:val="0"/>
          <w:bCs w:val="0"/>
          <w:color w:val="000000"/>
          <w:sz w:val="44"/>
          <w:szCs w:val="44"/>
          <w:shd w:val="clear" w:color="auto" w:fill="FFFFFF"/>
          <w:lang w:val="en-US" w:eastAsia="zh-CN"/>
        </w:rPr>
        <w:t>年福建省职业院校专业人才培养方案</w:t>
      </w:r>
    </w:p>
    <w:p w14:paraId="3A0B446D">
      <w:pPr>
        <w:pStyle w:val="3"/>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简体" w:cs="Times New Roman"/>
          <w:b w:val="0"/>
          <w:bCs w:val="0"/>
          <w:color w:val="000000"/>
          <w:sz w:val="44"/>
          <w:szCs w:val="44"/>
          <w:shd w:val="clear" w:color="auto" w:fill="FFFFFF"/>
          <w:lang w:val="en-US" w:eastAsia="zh-CN"/>
        </w:rPr>
      </w:pPr>
      <w:r>
        <w:rPr>
          <w:rFonts w:hint="default" w:ascii="Times New Roman" w:hAnsi="Times New Roman" w:eastAsia="方正小标宋简体" w:cs="Times New Roman"/>
          <w:b w:val="0"/>
          <w:bCs w:val="0"/>
          <w:color w:val="000000"/>
          <w:sz w:val="44"/>
          <w:szCs w:val="44"/>
          <w:shd w:val="clear" w:color="auto" w:fill="FFFFFF"/>
          <w:lang w:val="en-US" w:eastAsia="zh-CN"/>
        </w:rPr>
        <w:t>自查评价结果报表</w:t>
      </w:r>
    </w:p>
    <w:p w14:paraId="49C816D5">
      <w:pPr>
        <w:pStyle w:val="3"/>
        <w:keepNext w:val="0"/>
        <w:keepLines w:val="0"/>
        <w:pageBreakBefore w:val="0"/>
        <w:widowControl w:val="0"/>
        <w:kinsoku/>
        <w:wordWrap/>
        <w:overflowPunct/>
        <w:topLinePunct w:val="0"/>
        <w:autoSpaceDE/>
        <w:autoSpaceDN/>
        <w:bidi w:val="0"/>
        <w:adjustRightInd/>
        <w:snapToGrid w:val="0"/>
        <w:jc w:val="both"/>
        <w:textAlignment w:val="auto"/>
        <w:rPr>
          <w:rFonts w:hint="eastAsia" w:ascii="仿宋_GB2312" w:hAnsi="仿宋_GB2312" w:eastAsia="仿宋_GB2312" w:cs="仿宋_GB2312"/>
          <w:b w:val="0"/>
          <w:bCs w:val="0"/>
          <w:color w:val="000000"/>
          <w:sz w:val="30"/>
          <w:szCs w:val="30"/>
          <w:shd w:val="clear" w:color="auto" w:fill="FFFFFF"/>
          <w:lang w:val="en-US" w:eastAsia="zh-CN"/>
        </w:rPr>
      </w:pPr>
    </w:p>
    <w:p w14:paraId="7C98ED78">
      <w:pPr>
        <w:pStyle w:val="3"/>
        <w:keepNext w:val="0"/>
        <w:keepLines w:val="0"/>
        <w:pageBreakBefore w:val="0"/>
        <w:widowControl w:val="0"/>
        <w:kinsoku/>
        <w:wordWrap/>
        <w:overflowPunct/>
        <w:topLinePunct w:val="0"/>
        <w:autoSpaceDE/>
        <w:autoSpaceDN/>
        <w:bidi w:val="0"/>
        <w:adjustRightInd/>
        <w:snapToGrid w:val="0"/>
        <w:jc w:val="both"/>
        <w:textAlignment w:val="auto"/>
        <w:rPr>
          <w:rFonts w:hint="default" w:ascii="仿宋_GB2312" w:hAnsi="仿宋_GB2312" w:eastAsia="仿宋_GB2312" w:cs="仿宋_GB2312"/>
          <w:b w:val="0"/>
          <w:bCs w:val="0"/>
          <w:color w:val="000000"/>
          <w:sz w:val="30"/>
          <w:szCs w:val="30"/>
          <w:u w:val="single"/>
          <w:shd w:val="clear" w:color="auto" w:fill="FFFFFF"/>
          <w:lang w:val="en-US" w:eastAsia="zh-CN"/>
        </w:rPr>
      </w:pPr>
      <w:r>
        <w:rPr>
          <w:rFonts w:hint="eastAsia" w:ascii="仿宋_GB2312" w:hAnsi="仿宋_GB2312" w:eastAsia="仿宋_GB2312" w:cs="仿宋_GB2312"/>
          <w:b w:val="0"/>
          <w:bCs w:val="0"/>
          <w:color w:val="000000"/>
          <w:sz w:val="30"/>
          <w:szCs w:val="30"/>
          <w:shd w:val="clear" w:color="auto" w:fill="FFFFFF"/>
          <w:lang w:val="en-US" w:eastAsia="zh-CN"/>
        </w:rPr>
        <w:t>填报单位（学校）：</w:t>
      </w:r>
      <w:r>
        <w:rPr>
          <w:rFonts w:hint="eastAsia" w:ascii="仿宋_GB2312" w:hAnsi="仿宋_GB2312" w:eastAsia="仿宋_GB2312" w:cs="仿宋_GB2312"/>
          <w:b w:val="0"/>
          <w:bCs w:val="0"/>
          <w:color w:val="000000"/>
          <w:sz w:val="30"/>
          <w:szCs w:val="30"/>
          <w:u w:val="single"/>
          <w:shd w:val="clear" w:color="auto" w:fill="FFFFFF"/>
          <w:lang w:val="en-US" w:eastAsia="zh-CN"/>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7"/>
        <w:gridCol w:w="1492"/>
        <w:gridCol w:w="1480"/>
        <w:gridCol w:w="1670"/>
        <w:gridCol w:w="1760"/>
        <w:gridCol w:w="1810"/>
      </w:tblGrid>
      <w:tr w14:paraId="1C7C4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dxa"/>
            <w:noWrap w:val="0"/>
            <w:vAlign w:val="center"/>
          </w:tcPr>
          <w:p w14:paraId="05E15533">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r>
              <w:rPr>
                <w:rFonts w:hint="default" w:ascii="Times New Roman" w:hAnsi="Times New Roman" w:eastAsia="仿宋_GB2312" w:cs="Times New Roman"/>
                <w:b w:val="0"/>
                <w:bCs w:val="0"/>
                <w:color w:val="000000"/>
                <w:sz w:val="30"/>
                <w:szCs w:val="30"/>
                <w:shd w:val="clear" w:color="auto" w:fill="FFFFFF"/>
                <w:vertAlign w:val="baseline"/>
                <w:lang w:val="en-US" w:eastAsia="zh-CN"/>
              </w:rPr>
              <w:t>序号</w:t>
            </w:r>
          </w:p>
        </w:tc>
        <w:tc>
          <w:tcPr>
            <w:tcW w:w="1492" w:type="dxa"/>
            <w:noWrap w:val="0"/>
            <w:vAlign w:val="center"/>
          </w:tcPr>
          <w:p w14:paraId="0377E0BD">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r>
              <w:rPr>
                <w:rFonts w:hint="default" w:ascii="Times New Roman" w:hAnsi="Times New Roman" w:eastAsia="仿宋_GB2312" w:cs="Times New Roman"/>
                <w:b w:val="0"/>
                <w:bCs w:val="0"/>
                <w:color w:val="000000"/>
                <w:sz w:val="30"/>
                <w:szCs w:val="30"/>
                <w:shd w:val="clear" w:color="auto" w:fill="FFFFFF"/>
                <w:vertAlign w:val="baseline"/>
                <w:lang w:val="en-US" w:eastAsia="zh-CN"/>
              </w:rPr>
              <w:t>学校名称</w:t>
            </w:r>
          </w:p>
        </w:tc>
        <w:tc>
          <w:tcPr>
            <w:tcW w:w="1480" w:type="dxa"/>
            <w:noWrap w:val="0"/>
            <w:vAlign w:val="center"/>
          </w:tcPr>
          <w:p w14:paraId="7DDE107C">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r>
              <w:rPr>
                <w:rFonts w:hint="default" w:ascii="Times New Roman" w:hAnsi="Times New Roman" w:eastAsia="仿宋_GB2312" w:cs="Times New Roman"/>
                <w:b w:val="0"/>
                <w:bCs w:val="0"/>
                <w:color w:val="000000"/>
                <w:sz w:val="30"/>
                <w:szCs w:val="30"/>
                <w:shd w:val="clear" w:color="auto" w:fill="FFFFFF"/>
                <w:vertAlign w:val="baseline"/>
                <w:lang w:val="en-US" w:eastAsia="zh-CN"/>
              </w:rPr>
              <w:t>专业名称</w:t>
            </w:r>
          </w:p>
        </w:tc>
        <w:tc>
          <w:tcPr>
            <w:tcW w:w="1670" w:type="dxa"/>
            <w:noWrap w:val="0"/>
            <w:vAlign w:val="center"/>
          </w:tcPr>
          <w:p w14:paraId="5871879F">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r>
              <w:rPr>
                <w:rFonts w:hint="default" w:ascii="Times New Roman" w:hAnsi="Times New Roman" w:eastAsia="仿宋_GB2312" w:cs="Times New Roman"/>
                <w:b w:val="0"/>
                <w:bCs w:val="0"/>
                <w:color w:val="000000"/>
                <w:sz w:val="30"/>
                <w:szCs w:val="30"/>
                <w:shd w:val="clear" w:color="auto" w:fill="FFFFFF"/>
                <w:vertAlign w:val="baseline"/>
                <w:lang w:val="en-US" w:eastAsia="zh-CN"/>
              </w:rPr>
              <w:t>自查得分</w:t>
            </w:r>
          </w:p>
        </w:tc>
        <w:tc>
          <w:tcPr>
            <w:tcW w:w="1760" w:type="dxa"/>
            <w:noWrap w:val="0"/>
            <w:vAlign w:val="center"/>
          </w:tcPr>
          <w:p w14:paraId="3303D05F">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r>
              <w:rPr>
                <w:rFonts w:hint="default" w:ascii="Times New Roman" w:hAnsi="Times New Roman" w:eastAsia="仿宋_GB2312" w:cs="Times New Roman"/>
                <w:b w:val="0"/>
                <w:bCs w:val="0"/>
                <w:color w:val="000000"/>
                <w:sz w:val="30"/>
                <w:szCs w:val="30"/>
                <w:shd w:val="clear" w:color="auto" w:fill="FFFFFF"/>
                <w:vertAlign w:val="baseline"/>
                <w:lang w:val="en-US" w:eastAsia="zh-CN"/>
              </w:rPr>
              <w:t>评价结论</w:t>
            </w:r>
          </w:p>
        </w:tc>
        <w:tc>
          <w:tcPr>
            <w:tcW w:w="1810" w:type="dxa"/>
            <w:noWrap w:val="0"/>
            <w:vAlign w:val="center"/>
          </w:tcPr>
          <w:p w14:paraId="39173D04">
            <w:pPr>
              <w:pStyle w:val="3"/>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r>
              <w:rPr>
                <w:rFonts w:hint="default" w:ascii="Times New Roman" w:hAnsi="Times New Roman" w:eastAsia="仿宋_GB2312" w:cs="Times New Roman"/>
                <w:b w:val="0"/>
                <w:bCs w:val="0"/>
                <w:color w:val="000000"/>
                <w:sz w:val="30"/>
                <w:szCs w:val="30"/>
                <w:shd w:val="clear" w:color="auto" w:fill="FFFFFF"/>
                <w:vertAlign w:val="baseline"/>
                <w:lang w:val="en-US" w:eastAsia="zh-CN"/>
              </w:rPr>
              <w:t>是否为2026年新增专业</w:t>
            </w:r>
          </w:p>
        </w:tc>
      </w:tr>
      <w:tr w14:paraId="460DD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dxa"/>
            <w:noWrap w:val="0"/>
            <w:vAlign w:val="center"/>
          </w:tcPr>
          <w:p w14:paraId="3F7D2446">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492" w:type="dxa"/>
            <w:noWrap w:val="0"/>
            <w:vAlign w:val="center"/>
          </w:tcPr>
          <w:p w14:paraId="11A14FC2">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480" w:type="dxa"/>
            <w:noWrap w:val="0"/>
            <w:vAlign w:val="center"/>
          </w:tcPr>
          <w:p w14:paraId="7A6252F1">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670" w:type="dxa"/>
            <w:noWrap w:val="0"/>
            <w:vAlign w:val="center"/>
          </w:tcPr>
          <w:p w14:paraId="7FE33223">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760" w:type="dxa"/>
            <w:noWrap w:val="0"/>
            <w:vAlign w:val="center"/>
          </w:tcPr>
          <w:p w14:paraId="29B43CE7">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810" w:type="dxa"/>
            <w:noWrap w:val="0"/>
            <w:vAlign w:val="center"/>
          </w:tcPr>
          <w:p w14:paraId="2988A6E7">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r>
      <w:tr w14:paraId="0AFD4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dxa"/>
            <w:noWrap w:val="0"/>
            <w:vAlign w:val="center"/>
          </w:tcPr>
          <w:p w14:paraId="3301BE5D">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492" w:type="dxa"/>
            <w:noWrap w:val="0"/>
            <w:vAlign w:val="center"/>
          </w:tcPr>
          <w:p w14:paraId="3677FD49">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480" w:type="dxa"/>
            <w:noWrap w:val="0"/>
            <w:vAlign w:val="center"/>
          </w:tcPr>
          <w:p w14:paraId="68995A1B">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670" w:type="dxa"/>
            <w:noWrap w:val="0"/>
            <w:vAlign w:val="center"/>
          </w:tcPr>
          <w:p w14:paraId="5ECE6EC6">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760" w:type="dxa"/>
            <w:noWrap w:val="0"/>
            <w:vAlign w:val="center"/>
          </w:tcPr>
          <w:p w14:paraId="10BB80CF">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810" w:type="dxa"/>
            <w:noWrap w:val="0"/>
            <w:vAlign w:val="center"/>
          </w:tcPr>
          <w:p w14:paraId="31445D5A">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r>
      <w:tr w14:paraId="31044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dxa"/>
            <w:noWrap w:val="0"/>
            <w:vAlign w:val="center"/>
          </w:tcPr>
          <w:p w14:paraId="36523E0B">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492" w:type="dxa"/>
            <w:noWrap w:val="0"/>
            <w:vAlign w:val="center"/>
          </w:tcPr>
          <w:p w14:paraId="3560C340">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480" w:type="dxa"/>
            <w:noWrap w:val="0"/>
            <w:vAlign w:val="center"/>
          </w:tcPr>
          <w:p w14:paraId="3F494895">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670" w:type="dxa"/>
            <w:noWrap w:val="0"/>
            <w:vAlign w:val="center"/>
          </w:tcPr>
          <w:p w14:paraId="49522490">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760" w:type="dxa"/>
            <w:noWrap w:val="0"/>
            <w:vAlign w:val="center"/>
          </w:tcPr>
          <w:p w14:paraId="3E01E3EC">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810" w:type="dxa"/>
            <w:noWrap w:val="0"/>
            <w:vAlign w:val="center"/>
          </w:tcPr>
          <w:p w14:paraId="36B56A2B">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r>
      <w:tr w14:paraId="66545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dxa"/>
            <w:noWrap w:val="0"/>
            <w:vAlign w:val="center"/>
          </w:tcPr>
          <w:p w14:paraId="19624FF2">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492" w:type="dxa"/>
            <w:noWrap w:val="0"/>
            <w:vAlign w:val="center"/>
          </w:tcPr>
          <w:p w14:paraId="16576B37">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480" w:type="dxa"/>
            <w:noWrap w:val="0"/>
            <w:vAlign w:val="center"/>
          </w:tcPr>
          <w:p w14:paraId="62FC5BA8">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670" w:type="dxa"/>
            <w:noWrap w:val="0"/>
            <w:vAlign w:val="center"/>
          </w:tcPr>
          <w:p w14:paraId="73CC21B2">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760" w:type="dxa"/>
            <w:noWrap w:val="0"/>
            <w:vAlign w:val="center"/>
          </w:tcPr>
          <w:p w14:paraId="55A17DFC">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810" w:type="dxa"/>
            <w:noWrap w:val="0"/>
            <w:vAlign w:val="center"/>
          </w:tcPr>
          <w:p w14:paraId="2A6FC649">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r>
      <w:tr w14:paraId="51B46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dxa"/>
            <w:noWrap w:val="0"/>
            <w:vAlign w:val="center"/>
          </w:tcPr>
          <w:p w14:paraId="6F1AA947">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492" w:type="dxa"/>
            <w:noWrap w:val="0"/>
            <w:vAlign w:val="center"/>
          </w:tcPr>
          <w:p w14:paraId="422394F6">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480" w:type="dxa"/>
            <w:noWrap w:val="0"/>
            <w:vAlign w:val="center"/>
          </w:tcPr>
          <w:p w14:paraId="2F836A5F">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670" w:type="dxa"/>
            <w:noWrap w:val="0"/>
            <w:vAlign w:val="center"/>
          </w:tcPr>
          <w:p w14:paraId="0C10093B">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760" w:type="dxa"/>
            <w:noWrap w:val="0"/>
            <w:vAlign w:val="center"/>
          </w:tcPr>
          <w:p w14:paraId="7E85C1C1">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c>
          <w:tcPr>
            <w:tcW w:w="1810" w:type="dxa"/>
            <w:noWrap w:val="0"/>
            <w:vAlign w:val="center"/>
          </w:tcPr>
          <w:p w14:paraId="38C83BC7">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仿宋_GB2312" w:cs="Times New Roman"/>
                <w:b w:val="0"/>
                <w:bCs w:val="0"/>
                <w:color w:val="000000"/>
                <w:sz w:val="30"/>
                <w:szCs w:val="30"/>
                <w:shd w:val="clear" w:color="auto" w:fill="FFFFFF"/>
                <w:vertAlign w:val="baseline"/>
                <w:lang w:val="en-US" w:eastAsia="zh-CN"/>
              </w:rPr>
            </w:pPr>
          </w:p>
        </w:tc>
      </w:tr>
    </w:tbl>
    <w:p w14:paraId="63E288B1">
      <w:pPr>
        <w:pStyle w:val="3"/>
        <w:keepNext w:val="0"/>
        <w:keepLines w:val="0"/>
        <w:pageBreakBefore w:val="0"/>
        <w:widowControl w:val="0"/>
        <w:kinsoku/>
        <w:wordWrap/>
        <w:overflowPunct/>
        <w:topLinePunct w:val="0"/>
        <w:autoSpaceDE/>
        <w:autoSpaceDN/>
        <w:bidi w:val="0"/>
        <w:adjustRightInd/>
        <w:snapToGrid w:val="0"/>
        <w:ind w:left="560" w:hanging="560" w:hangingChars="200"/>
        <w:jc w:val="both"/>
        <w:textAlignment w:val="auto"/>
        <w:rPr>
          <w:rFonts w:hint="default" w:ascii="Times New Roman" w:hAnsi="Times New Roman" w:eastAsia="仿宋_GB2312" w:cs="Times New Roman"/>
          <w:b w:val="0"/>
          <w:bCs w:val="0"/>
          <w:color w:val="000000"/>
          <w:sz w:val="28"/>
          <w:szCs w:val="28"/>
          <w:shd w:val="clear" w:color="auto" w:fill="FFFFFF"/>
          <w:lang w:val="en-US" w:eastAsia="zh-CN"/>
        </w:rPr>
      </w:pPr>
      <w:r>
        <w:rPr>
          <w:rFonts w:hint="default" w:ascii="Times New Roman" w:hAnsi="Times New Roman" w:eastAsia="仿宋_GB2312" w:cs="Times New Roman"/>
          <w:b w:val="0"/>
          <w:bCs w:val="0"/>
          <w:color w:val="000000"/>
          <w:sz w:val="28"/>
          <w:szCs w:val="28"/>
          <w:shd w:val="clear" w:color="auto" w:fill="FFFFFF"/>
          <w:lang w:val="en-US" w:eastAsia="zh-CN"/>
        </w:rPr>
        <w:t>联系人：                          联系电话：</w:t>
      </w:r>
    </w:p>
    <w:p w14:paraId="28D0C6D5">
      <w:pPr>
        <w:pStyle w:val="3"/>
        <w:keepNext w:val="0"/>
        <w:keepLines w:val="0"/>
        <w:pageBreakBefore w:val="0"/>
        <w:widowControl w:val="0"/>
        <w:kinsoku/>
        <w:wordWrap/>
        <w:overflowPunct/>
        <w:topLinePunct w:val="0"/>
        <w:autoSpaceDE/>
        <w:autoSpaceDN/>
        <w:bidi w:val="0"/>
        <w:adjustRightInd/>
        <w:snapToGrid w:val="0"/>
        <w:ind w:left="560" w:hanging="560" w:hangingChars="200"/>
        <w:jc w:val="both"/>
        <w:textAlignment w:val="auto"/>
        <w:rPr>
          <w:rFonts w:hint="default" w:ascii="Times New Roman" w:hAnsi="Times New Roman" w:eastAsia="仿宋_GB2312" w:cs="Times New Roman"/>
          <w:b w:val="0"/>
          <w:bCs w:val="0"/>
          <w:color w:val="000000"/>
          <w:sz w:val="28"/>
          <w:szCs w:val="28"/>
          <w:shd w:val="clear" w:color="auto" w:fill="FFFFFF"/>
          <w:lang w:val="en-US" w:eastAsia="zh-CN"/>
        </w:rPr>
      </w:pPr>
    </w:p>
    <w:p w14:paraId="1F42CACC">
      <w:pPr>
        <w:pStyle w:val="3"/>
        <w:keepNext w:val="0"/>
        <w:keepLines w:val="0"/>
        <w:pageBreakBefore w:val="0"/>
        <w:widowControl w:val="0"/>
        <w:kinsoku/>
        <w:wordWrap/>
        <w:overflowPunct/>
        <w:topLinePunct w:val="0"/>
        <w:autoSpaceDE/>
        <w:autoSpaceDN/>
        <w:bidi w:val="0"/>
        <w:adjustRightInd/>
        <w:snapToGrid w:val="0"/>
        <w:ind w:left="560" w:hanging="560" w:hangingChars="200"/>
        <w:jc w:val="both"/>
        <w:textAlignment w:val="auto"/>
        <w:rPr>
          <w:rFonts w:hint="default" w:ascii="Times New Roman" w:hAnsi="Times New Roman" w:eastAsia="仿宋_GB2312" w:cs="Times New Roman"/>
          <w:b w:val="0"/>
          <w:bCs w:val="0"/>
          <w:color w:val="000000"/>
          <w:sz w:val="28"/>
          <w:szCs w:val="28"/>
          <w:shd w:val="clear" w:color="auto" w:fill="FFFFFF"/>
          <w:lang w:val="en-US" w:eastAsia="zh-CN"/>
        </w:rPr>
      </w:pPr>
      <w:r>
        <w:rPr>
          <w:rFonts w:hint="default" w:ascii="Times New Roman" w:hAnsi="Times New Roman" w:eastAsia="仿宋_GB2312" w:cs="Times New Roman"/>
          <w:b w:val="0"/>
          <w:bCs w:val="0"/>
          <w:color w:val="000000"/>
          <w:sz w:val="28"/>
          <w:szCs w:val="28"/>
          <w:shd w:val="clear" w:color="auto" w:fill="FFFFFF"/>
          <w:lang w:val="en-US" w:eastAsia="zh-CN"/>
        </w:rPr>
        <w:t>注：1.</w:t>
      </w:r>
      <w:r>
        <w:rPr>
          <w:rFonts w:hint="default" w:ascii="Times New Roman" w:hAnsi="Times New Roman" w:eastAsia="仿宋_GB2312" w:cs="Times New Roman"/>
          <w:b w:val="0"/>
          <w:bCs w:val="0"/>
          <w:color w:val="000000"/>
          <w:sz w:val="28"/>
          <w:szCs w:val="28"/>
          <w:shd w:val="clear" w:color="auto" w:fill="FFFFFF"/>
          <w:lang w:eastAsia="zh-CN"/>
        </w:rPr>
        <w:t>设区市</w:t>
      </w:r>
      <w:r>
        <w:rPr>
          <w:rFonts w:hint="default" w:ascii="Times New Roman" w:hAnsi="Times New Roman" w:eastAsia="仿宋_GB2312" w:cs="Times New Roman"/>
          <w:b w:val="0"/>
          <w:bCs w:val="0"/>
          <w:color w:val="000000"/>
          <w:sz w:val="28"/>
          <w:szCs w:val="28"/>
          <w:shd w:val="clear" w:color="auto" w:fill="FFFFFF"/>
          <w:lang w:val="en-US" w:eastAsia="zh-CN"/>
        </w:rPr>
        <w:t>教研机构完成本地区中职学校所有专业人才培养方案的市级自查，并报送自查评价结果；各高职学校、省属中职学校以及平潭职业中专学校完成自查后直接报送。</w:t>
      </w:r>
    </w:p>
    <w:p w14:paraId="17E2FE3F">
      <w:pPr>
        <w:pStyle w:val="3"/>
        <w:keepNext w:val="0"/>
        <w:keepLines w:val="0"/>
        <w:pageBreakBefore w:val="0"/>
        <w:widowControl w:val="0"/>
        <w:numPr>
          <w:ilvl w:val="0"/>
          <w:numId w:val="1"/>
        </w:numPr>
        <w:kinsoku/>
        <w:wordWrap/>
        <w:overflowPunct/>
        <w:topLinePunct w:val="0"/>
        <w:autoSpaceDE/>
        <w:autoSpaceDN/>
        <w:bidi w:val="0"/>
        <w:adjustRightInd/>
        <w:snapToGrid w:val="0"/>
        <w:ind w:left="559" w:leftChars="266" w:firstLine="0" w:firstLineChars="0"/>
        <w:jc w:val="both"/>
        <w:textAlignment w:val="auto"/>
        <w:rPr>
          <w:rFonts w:hint="default" w:ascii="Times New Roman" w:hAnsi="Times New Roman" w:eastAsia="仿宋_GB2312" w:cs="Times New Roman"/>
          <w:b w:val="0"/>
          <w:bCs w:val="0"/>
          <w:color w:val="000000"/>
          <w:sz w:val="28"/>
          <w:szCs w:val="28"/>
          <w:shd w:val="clear" w:color="auto" w:fill="FFFFFF"/>
          <w:lang w:val="en-US" w:eastAsia="zh-CN"/>
        </w:rPr>
      </w:pPr>
      <w:r>
        <w:rPr>
          <w:rFonts w:hint="default" w:ascii="Times New Roman" w:hAnsi="Times New Roman" w:eastAsia="仿宋_GB2312" w:cs="Times New Roman"/>
          <w:b w:val="0"/>
          <w:bCs w:val="0"/>
          <w:color w:val="000000"/>
          <w:sz w:val="28"/>
          <w:szCs w:val="28"/>
          <w:shd w:val="clear" w:color="auto" w:fill="FFFFFF"/>
          <w:vertAlign w:val="baseline"/>
          <w:lang w:val="en-US" w:eastAsia="zh-CN"/>
        </w:rPr>
        <w:t>自查</w:t>
      </w:r>
      <w:r>
        <w:rPr>
          <w:rFonts w:hint="default" w:ascii="Times New Roman" w:hAnsi="Times New Roman" w:eastAsia="仿宋_GB2312" w:cs="Times New Roman"/>
          <w:b w:val="0"/>
          <w:bCs w:val="0"/>
          <w:color w:val="000000"/>
          <w:sz w:val="28"/>
          <w:szCs w:val="28"/>
          <w:shd w:val="clear" w:color="auto" w:fill="FFFFFF"/>
          <w:lang w:val="en-US" w:eastAsia="zh-CN"/>
        </w:rPr>
        <w:t>评价结果分为“优秀”、“合格”与“不合格”，≥90分为“优秀”、＜70分为“不合格”。存在专业名称有误、公共基础课程未开齐开足、各类学时比例不达标等基础性问题的，原则上评价为“不合格”。</w:t>
      </w:r>
    </w:p>
    <w:p w14:paraId="6D786C30">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_GB2312" w:cs="Times New Roman"/>
          <w:b w:val="0"/>
          <w:bCs w:val="0"/>
          <w:color w:val="000000"/>
          <w:sz w:val="28"/>
          <w:szCs w:val="28"/>
          <w:shd w:val="clear" w:color="auto" w:fill="FFFFFF"/>
          <w:lang w:val="en-US" w:eastAsia="zh-CN"/>
        </w:rPr>
        <w:t>填报单位处应加盖设区市教研机构公章；高职学校、省属中职学校以及平潭职业中专学校加盖学校公章。</w:t>
      </w:r>
    </w:p>
    <w:p w14:paraId="0D9A0792">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32"/>
          <w:szCs w:val="32"/>
          <w:lang w:val="en-US" w:eastAsia="zh-CN"/>
        </w:rPr>
      </w:pPr>
    </w:p>
    <w:p w14:paraId="7BB1A26D">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32"/>
          <w:szCs w:val="32"/>
          <w:lang w:val="en-US" w:eastAsia="zh-CN"/>
        </w:rPr>
      </w:pPr>
    </w:p>
    <w:p w14:paraId="32E66177">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32"/>
          <w:szCs w:val="32"/>
          <w:lang w:val="en-US" w:eastAsia="zh-CN"/>
        </w:rPr>
      </w:pPr>
    </w:p>
    <w:p w14:paraId="2704DDD8">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32"/>
          <w:szCs w:val="32"/>
          <w:lang w:val="en-US" w:eastAsia="zh-CN"/>
        </w:rPr>
        <w:sectPr>
          <w:footnotePr>
            <w:numFmt w:val="decimal"/>
            <w:numRestart w:val="eachSect"/>
          </w:footnotePr>
          <w:pgSz w:w="11906" w:h="16838"/>
          <w:pgMar w:top="2098" w:right="1474" w:bottom="1984" w:left="1587" w:header="851" w:footer="1928" w:gutter="0"/>
          <w:pgNumType w:fmt="numberInDash"/>
          <w:cols w:space="720" w:num="1"/>
          <w:rtlGutter w:val="0"/>
          <w:docGrid w:type="lines" w:linePitch="315" w:charSpace="0"/>
        </w:sectPr>
      </w:pPr>
    </w:p>
    <w:p w14:paraId="64F3FFDA">
      <w:pPr>
        <w:pStyle w:val="3"/>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黑体" w:cs="Times New Roman"/>
          <w:color w:val="000000"/>
          <w:kern w:val="0"/>
          <w:sz w:val="32"/>
          <w:szCs w:val="32"/>
          <w:shd w:val="clear" w:color="auto" w:fill="FFFFFF"/>
          <w:lang w:val="en-US" w:eastAsia="zh-CN" w:bidi="ar-SA"/>
        </w:rPr>
      </w:pPr>
      <w:r>
        <w:rPr>
          <w:rFonts w:hint="eastAsia" w:ascii="Times New Roman" w:hAnsi="Times New Roman" w:eastAsia="黑体" w:cs="Times New Roman"/>
          <w:color w:val="000000"/>
          <w:kern w:val="0"/>
          <w:sz w:val="32"/>
          <w:szCs w:val="32"/>
          <w:shd w:val="clear" w:color="auto" w:fill="FFFFFF"/>
          <w:lang w:val="en-US" w:eastAsia="zh-CN" w:bidi="ar-SA"/>
        </w:rPr>
        <w:t>附件3</w:t>
      </w:r>
    </w:p>
    <w:p w14:paraId="38CC8478">
      <w:pPr>
        <w:pStyle w:val="3"/>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color w:val="000000"/>
          <w:kern w:val="0"/>
          <w:sz w:val="44"/>
          <w:szCs w:val="44"/>
          <w:u w:val="none"/>
          <w:shd w:val="clear" w:color="auto" w:fill="FFFFFF"/>
          <w:lang w:val="en-US" w:eastAsia="zh-CN" w:bidi="ar-SA"/>
        </w:rPr>
      </w:pPr>
      <w:r>
        <w:rPr>
          <w:rFonts w:hint="eastAsia" w:ascii="方正小标宋简体" w:hAnsi="方正小标宋简体" w:eastAsia="方正小标宋简体" w:cs="方正小标宋简体"/>
          <w:color w:val="000000"/>
          <w:kern w:val="0"/>
          <w:sz w:val="44"/>
          <w:szCs w:val="44"/>
          <w:u w:val="none"/>
          <w:shd w:val="clear" w:color="auto" w:fill="FFFFFF"/>
          <w:lang w:val="en-US" w:eastAsia="zh-CN" w:bidi="ar-SA"/>
        </w:rPr>
        <w:t>网站信息回执表</w:t>
      </w:r>
    </w:p>
    <w:p w14:paraId="08947215">
      <w:pPr>
        <w:pStyle w:val="3"/>
        <w:jc w:val="both"/>
        <w:rPr>
          <w:rFonts w:hint="eastAsia" w:ascii="仿宋_GB2312" w:hAnsi="仿宋_GB2312" w:eastAsia="仿宋_GB2312" w:cs="仿宋_GB2312"/>
          <w:color w:val="000000"/>
          <w:kern w:val="0"/>
          <w:sz w:val="32"/>
          <w:szCs w:val="32"/>
          <w:u w:val="single"/>
          <w:shd w:val="clear" w:color="auto" w:fill="FFFFFF"/>
          <w:lang w:val="en-US" w:eastAsia="zh-CN" w:bidi="ar-SA"/>
        </w:rPr>
      </w:pPr>
      <w:r>
        <w:rPr>
          <w:rFonts w:hint="eastAsia" w:ascii="仿宋_GB2312" w:hAnsi="仿宋_GB2312" w:eastAsia="仿宋_GB2312" w:cs="仿宋_GB2312"/>
          <w:color w:val="000000"/>
          <w:kern w:val="0"/>
          <w:sz w:val="32"/>
          <w:szCs w:val="32"/>
          <w:u w:val="none"/>
          <w:shd w:val="clear" w:color="auto" w:fill="FFFFFF"/>
          <w:lang w:val="en-US" w:eastAsia="zh-CN" w:bidi="ar-SA"/>
        </w:rPr>
        <w:t>单位（学校）：</w:t>
      </w:r>
      <w:r>
        <w:rPr>
          <w:rFonts w:hint="eastAsia" w:ascii="仿宋_GB2312" w:hAnsi="仿宋_GB2312" w:eastAsia="仿宋_GB2312" w:cs="仿宋_GB2312"/>
          <w:color w:val="000000"/>
          <w:kern w:val="0"/>
          <w:sz w:val="32"/>
          <w:szCs w:val="32"/>
          <w:u w:val="single"/>
          <w:shd w:val="clear" w:color="auto" w:fill="FFFFFF"/>
          <w:lang w:val="en-US" w:eastAsia="zh-CN" w:bidi="ar-SA"/>
        </w:rPr>
        <w:t xml:space="preserve">              </w:t>
      </w:r>
    </w:p>
    <w:tbl>
      <w:tblPr>
        <w:tblStyle w:val="8"/>
        <w:tblW w:w="140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2447"/>
        <w:gridCol w:w="4277"/>
        <w:gridCol w:w="3016"/>
        <w:gridCol w:w="3412"/>
      </w:tblGrid>
      <w:tr w14:paraId="6B145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886" w:type="dxa"/>
            <w:noWrap w:val="0"/>
            <w:vAlign w:val="center"/>
          </w:tcPr>
          <w:p w14:paraId="1B79516A">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t>序号</w:t>
            </w:r>
          </w:p>
        </w:tc>
        <w:tc>
          <w:tcPr>
            <w:tcW w:w="2447" w:type="dxa"/>
            <w:noWrap w:val="0"/>
            <w:vAlign w:val="center"/>
          </w:tcPr>
          <w:p w14:paraId="14F53921">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t>学校名称</w:t>
            </w:r>
          </w:p>
        </w:tc>
        <w:tc>
          <w:tcPr>
            <w:tcW w:w="4277" w:type="dxa"/>
            <w:noWrap w:val="0"/>
            <w:vAlign w:val="center"/>
          </w:tcPr>
          <w:p w14:paraId="2F2348F1">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t>发布或代为发布网站中文全称</w:t>
            </w:r>
          </w:p>
        </w:tc>
        <w:tc>
          <w:tcPr>
            <w:tcW w:w="3016" w:type="dxa"/>
            <w:noWrap w:val="0"/>
            <w:vAlign w:val="center"/>
          </w:tcPr>
          <w:p w14:paraId="419BC205">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t>是否在首页设置专栏</w:t>
            </w:r>
          </w:p>
        </w:tc>
        <w:tc>
          <w:tcPr>
            <w:tcW w:w="3412" w:type="dxa"/>
            <w:noWrap w:val="0"/>
            <w:vAlign w:val="center"/>
          </w:tcPr>
          <w:p w14:paraId="43721577">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t>网址链接</w:t>
            </w:r>
          </w:p>
        </w:tc>
      </w:tr>
      <w:tr w14:paraId="7FEDC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886" w:type="dxa"/>
            <w:noWrap w:val="0"/>
            <w:vAlign w:val="center"/>
          </w:tcPr>
          <w:p w14:paraId="31B4E91F">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t>1</w:t>
            </w:r>
          </w:p>
        </w:tc>
        <w:tc>
          <w:tcPr>
            <w:tcW w:w="2447" w:type="dxa"/>
            <w:noWrap w:val="0"/>
            <w:vAlign w:val="center"/>
          </w:tcPr>
          <w:p w14:paraId="6AFDA488">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p>
        </w:tc>
        <w:tc>
          <w:tcPr>
            <w:tcW w:w="4277" w:type="dxa"/>
            <w:noWrap w:val="0"/>
            <w:vAlign w:val="center"/>
          </w:tcPr>
          <w:p w14:paraId="14C3C48F">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p>
        </w:tc>
        <w:tc>
          <w:tcPr>
            <w:tcW w:w="3016" w:type="dxa"/>
            <w:noWrap w:val="0"/>
            <w:vAlign w:val="center"/>
          </w:tcPr>
          <w:p w14:paraId="45FCCAF9">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p>
        </w:tc>
        <w:tc>
          <w:tcPr>
            <w:tcW w:w="3412" w:type="dxa"/>
            <w:noWrap w:val="0"/>
            <w:vAlign w:val="center"/>
          </w:tcPr>
          <w:p w14:paraId="0AC73A5B">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p>
        </w:tc>
      </w:tr>
      <w:tr w14:paraId="1D5A6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886" w:type="dxa"/>
            <w:noWrap w:val="0"/>
            <w:vAlign w:val="center"/>
          </w:tcPr>
          <w:p w14:paraId="0DA73BC4">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t>2</w:t>
            </w:r>
          </w:p>
        </w:tc>
        <w:tc>
          <w:tcPr>
            <w:tcW w:w="2447" w:type="dxa"/>
            <w:noWrap w:val="0"/>
            <w:vAlign w:val="center"/>
          </w:tcPr>
          <w:p w14:paraId="03F76C1E">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p>
        </w:tc>
        <w:tc>
          <w:tcPr>
            <w:tcW w:w="4277" w:type="dxa"/>
            <w:noWrap w:val="0"/>
            <w:vAlign w:val="center"/>
          </w:tcPr>
          <w:p w14:paraId="5156BA81">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p>
        </w:tc>
        <w:tc>
          <w:tcPr>
            <w:tcW w:w="3016" w:type="dxa"/>
            <w:noWrap w:val="0"/>
            <w:vAlign w:val="center"/>
          </w:tcPr>
          <w:p w14:paraId="62576D8E">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p>
        </w:tc>
        <w:tc>
          <w:tcPr>
            <w:tcW w:w="3412" w:type="dxa"/>
            <w:noWrap w:val="0"/>
            <w:vAlign w:val="center"/>
          </w:tcPr>
          <w:p w14:paraId="63558C7B">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p>
        </w:tc>
      </w:tr>
      <w:tr w14:paraId="71FB2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886" w:type="dxa"/>
            <w:noWrap w:val="0"/>
            <w:vAlign w:val="center"/>
          </w:tcPr>
          <w:p w14:paraId="2E83EDF5">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t>3</w:t>
            </w:r>
          </w:p>
        </w:tc>
        <w:tc>
          <w:tcPr>
            <w:tcW w:w="2447" w:type="dxa"/>
            <w:noWrap w:val="0"/>
            <w:vAlign w:val="center"/>
          </w:tcPr>
          <w:p w14:paraId="7F58B3B3">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p>
        </w:tc>
        <w:tc>
          <w:tcPr>
            <w:tcW w:w="4277" w:type="dxa"/>
            <w:noWrap w:val="0"/>
            <w:vAlign w:val="center"/>
          </w:tcPr>
          <w:p w14:paraId="5AFBE7D1">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p>
        </w:tc>
        <w:tc>
          <w:tcPr>
            <w:tcW w:w="3016" w:type="dxa"/>
            <w:noWrap w:val="0"/>
            <w:vAlign w:val="center"/>
          </w:tcPr>
          <w:p w14:paraId="53682B2E">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p>
        </w:tc>
        <w:tc>
          <w:tcPr>
            <w:tcW w:w="3412" w:type="dxa"/>
            <w:noWrap w:val="0"/>
            <w:vAlign w:val="center"/>
          </w:tcPr>
          <w:p w14:paraId="35EDBC62">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p>
        </w:tc>
      </w:tr>
      <w:tr w14:paraId="443E8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886" w:type="dxa"/>
            <w:noWrap w:val="0"/>
            <w:vAlign w:val="center"/>
          </w:tcPr>
          <w:p w14:paraId="13DBDD1A">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t>……</w:t>
            </w:r>
          </w:p>
        </w:tc>
        <w:tc>
          <w:tcPr>
            <w:tcW w:w="2447" w:type="dxa"/>
            <w:noWrap w:val="0"/>
            <w:vAlign w:val="center"/>
          </w:tcPr>
          <w:p w14:paraId="7EBA2FEE">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p>
        </w:tc>
        <w:tc>
          <w:tcPr>
            <w:tcW w:w="4277" w:type="dxa"/>
            <w:noWrap w:val="0"/>
            <w:vAlign w:val="center"/>
          </w:tcPr>
          <w:p w14:paraId="0FAF14CF">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p>
        </w:tc>
        <w:tc>
          <w:tcPr>
            <w:tcW w:w="3016" w:type="dxa"/>
            <w:noWrap w:val="0"/>
            <w:vAlign w:val="center"/>
          </w:tcPr>
          <w:p w14:paraId="2CEB1FDB">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p>
        </w:tc>
        <w:tc>
          <w:tcPr>
            <w:tcW w:w="3412" w:type="dxa"/>
            <w:noWrap w:val="0"/>
            <w:vAlign w:val="center"/>
          </w:tcPr>
          <w:p w14:paraId="741A5EA4">
            <w:pPr>
              <w:pStyle w:val="3"/>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kern w:val="0"/>
                <w:sz w:val="28"/>
                <w:szCs w:val="28"/>
                <w:u w:val="none"/>
                <w:shd w:val="clear" w:color="auto" w:fill="FFFFFF"/>
                <w:vertAlign w:val="baseline"/>
                <w:lang w:val="en-US" w:eastAsia="zh-CN" w:bidi="ar-SA"/>
              </w:rPr>
            </w:pPr>
          </w:p>
        </w:tc>
      </w:tr>
    </w:tbl>
    <w:p w14:paraId="503F692E">
      <w:pPr>
        <w:pStyle w:val="3"/>
        <w:jc w:val="both"/>
        <w:rPr>
          <w:rFonts w:hint="eastAsia" w:ascii="仿宋_GB2312" w:hAnsi="仿宋_GB2312" w:eastAsia="仿宋_GB2312" w:cs="仿宋_GB2312"/>
          <w:color w:val="000000"/>
          <w:kern w:val="0"/>
          <w:sz w:val="24"/>
          <w:szCs w:val="24"/>
          <w:u w:val="none"/>
          <w:shd w:val="clear" w:color="auto" w:fill="FFFFFF"/>
          <w:lang w:val="en-US" w:eastAsia="zh-CN" w:bidi="ar-SA"/>
        </w:rPr>
      </w:pPr>
      <w:r>
        <w:rPr>
          <w:rFonts w:hint="eastAsia" w:ascii="仿宋_GB2312" w:hAnsi="仿宋_GB2312" w:eastAsia="仿宋_GB2312" w:cs="仿宋_GB2312"/>
          <w:color w:val="000000"/>
          <w:kern w:val="0"/>
          <w:sz w:val="24"/>
          <w:szCs w:val="24"/>
          <w:u w:val="none"/>
          <w:shd w:val="clear" w:color="auto" w:fill="FFFFFF"/>
          <w:lang w:val="en-US" w:eastAsia="zh-CN" w:bidi="ar-SA"/>
        </w:rPr>
        <w:t>注：本表填报单位为各设区市教研机构、高职学校、省属中职学校以及平潭职业中专学校，其他中职学校勿单独填报。</w:t>
      </w:r>
    </w:p>
    <w:p w14:paraId="3AA56235">
      <w:pPr>
        <w:pStyle w:val="3"/>
        <w:ind w:firstLine="280" w:firstLineChars="100"/>
        <w:jc w:val="both"/>
        <w:rPr>
          <w:rFonts w:hint="default" w:ascii="仿宋_GB2312" w:hAnsi="仿宋_GB2312" w:eastAsia="仿宋_GB2312" w:cs="仿宋_GB2312"/>
          <w:color w:val="000000"/>
          <w:kern w:val="0"/>
          <w:sz w:val="28"/>
          <w:szCs w:val="28"/>
          <w:u w:val="none"/>
          <w:shd w:val="clear" w:color="auto" w:fill="FFFFFF"/>
          <w:lang w:val="en-US" w:eastAsia="zh-CN" w:bidi="ar-SA"/>
        </w:rPr>
      </w:pPr>
      <w:r>
        <w:rPr>
          <w:rFonts w:hint="eastAsia" w:ascii="仿宋_GB2312" w:hAnsi="仿宋_GB2312" w:eastAsia="仿宋_GB2312" w:cs="仿宋_GB2312"/>
          <w:color w:val="000000"/>
          <w:kern w:val="0"/>
          <w:sz w:val="28"/>
          <w:szCs w:val="28"/>
          <w:u w:val="none"/>
          <w:shd w:val="clear" w:color="auto" w:fill="FFFFFF"/>
          <w:lang w:val="en-US" w:eastAsia="zh-CN" w:bidi="ar-SA"/>
        </w:rPr>
        <w:t>填表人：                                  联系方式：</w:t>
      </w:r>
    </w:p>
    <w:p w14:paraId="22D5937B">
      <w:pPr>
        <w:pStyle w:val="6"/>
        <w:ind w:left="0" w:leftChars="0" w:firstLine="0" w:firstLineChars="0"/>
        <w:rPr>
          <w:rFonts w:hint="default" w:ascii="Times New Roman" w:hAnsi="Times New Roman" w:cs="Times New Roman"/>
          <w:lang w:val="en-US" w:eastAsia="zh-CN"/>
        </w:rPr>
        <w:sectPr>
          <w:footnotePr>
            <w:numFmt w:val="decimal"/>
            <w:numRestart w:val="eachSect"/>
          </w:footnotePr>
          <w:pgSz w:w="16838" w:h="11906" w:orient="landscape"/>
          <w:pgMar w:top="1587" w:right="2098" w:bottom="1474" w:left="1984" w:header="851" w:footer="1928" w:gutter="0"/>
          <w:pgNumType w:fmt="numberInDash"/>
          <w:cols w:space="720" w:num="1"/>
          <w:rtlGutter w:val="0"/>
          <w:docGrid w:type="lines" w:linePitch="315" w:charSpace="0"/>
        </w:sectPr>
      </w:pPr>
    </w:p>
    <w:p w14:paraId="6BE504D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FE139">
    <w:pPr>
      <w:pStyle w:val="4"/>
      <w:ind w:right="360" w:firstLine="360"/>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F5E013A">
                          <w:pPr>
                            <w:pStyle w:val="4"/>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- 5 -</w:t>
                          </w:r>
                          <w:r>
                            <w:rPr>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path/>
              <v:fill on="f" focussize="0,0"/>
              <v:stroke on="f" weight="1.25pt"/>
              <v:imagedata o:title=""/>
              <o:lock v:ext="edit" aspectratio="f"/>
              <v:textbox inset="0mm,0mm,0mm,0mm" style="mso-fit-shape-to-text:t;">
                <w:txbxContent>
                  <w:p w14:paraId="5F5E013A">
                    <w:pPr>
                      <w:pStyle w:val="4"/>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- 5 -</w:t>
                    </w:r>
                    <w:r>
                      <w:rPr>
                        <w:sz w:val="28"/>
                        <w:szCs w:val="28"/>
                      </w:rPr>
                      <w:fldChar w:fldCharType="end"/>
                    </w:r>
                  </w:p>
                </w:txbxContent>
              </v:textbox>
            </v:shape>
          </w:pict>
        </mc:Fallback>
      </mc:AlternateContent>
    </w: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2CDC97D"/>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KLKOTSAQAAow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oso5NIBAACjAwAADgAAAAAAAAABACAAAAAi&#10;AQAAZHJzL2Uyb0RvYy54bWxQSwUGAAAAAAYABgBZAQAAZgUAAAAA&#10;">
              <v:path/>
              <v:fill on="f" focussize="0,0"/>
              <v:stroke on="f" weight="1.25pt"/>
              <v:imagedata o:title=""/>
              <o:lock v:ext="edit" aspectratio="f"/>
              <v:textbox inset="0mm,0mm,0mm,0mm" style="mso-fit-shape-to-text:t;">
                <w:txbxContent>
                  <w:p w14:paraId="22CDC97D"/>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CE74992">
                          <w:pPr>
                            <w:pStyle w:val="4"/>
                            <w:rPr>
                              <w:sz w:val="28"/>
                              <w:szCs w:val="2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HNwfrNIBAACjAwAADgAAAAAAAAABACAAAAAi&#10;AQAAZHJzL2Uyb0RvYy54bWxQSwUGAAAAAAYABgBZAQAAZgUAAAAA&#10;">
              <v:path/>
              <v:fill on="f" focussize="0,0"/>
              <v:stroke on="f" weight="1.25pt"/>
              <v:imagedata o:title=""/>
              <o:lock v:ext="edit" aspectratio="f"/>
              <v:textbox inset="0mm,0mm,0mm,0mm" style="mso-fit-shape-to-text:t;">
                <w:txbxContent>
                  <w:p w14:paraId="6CE74992">
                    <w:pPr>
                      <w:pStyle w:val="4"/>
                      <w:rPr>
                        <w:sz w:val="28"/>
                        <w:szCs w:val="28"/>
                      </w:rPr>
                    </w:pPr>
                  </w:p>
                </w:txbxContent>
              </v:textbox>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FACA006"/>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path/>
              <v:fill on="f" focussize="0,0"/>
              <v:stroke on="f" weight="1.25pt"/>
              <v:imagedata o:title=""/>
              <o:lock v:ext="edit" aspectratio="f"/>
              <v:textbox inset="0mm,0mm,0mm,0mm" style="mso-fit-shape-to-text:t;">
                <w:txbxContent>
                  <w:p w14:paraId="3FACA006"/>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C3EB11C">
                          <w:pPr>
                            <w:pStyle w:val="4"/>
                            <w:rPr>
                              <w:rFonts w:hint="default" w:ascii="Times New Roman" w:hAnsi="Times New Roman" w:cs="Times New Roman"/>
                              <w:sz w:val="28"/>
                              <w:szCs w:val="2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path/>
              <v:fill on="f" focussize="0,0"/>
              <v:stroke on="f" weight="1.25pt"/>
              <v:imagedata o:title=""/>
              <o:lock v:ext="edit" aspectratio="f"/>
              <v:textbox inset="0mm,0mm,0mm,0mm" style="mso-fit-shape-to-text:t;">
                <w:txbxContent>
                  <w:p w14:paraId="7C3EB11C">
                    <w:pPr>
                      <w:pStyle w:val="4"/>
                      <w:rPr>
                        <w:rFonts w:hint="default" w:ascii="Times New Roman" w:hAnsi="Times New Roman" w:cs="Times New Roman"/>
                        <w:sz w:val="28"/>
                        <w:szCs w:val="28"/>
                      </w:rPr>
                    </w:pP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2021894">
                          <w:pPr>
                            <w:snapToGrid w:val="0"/>
                            <w:rPr>
                              <w:rFonts w:hint="eastAsia" w:eastAsia="宋体"/>
                              <w:sz w:val="18"/>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&#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97vqatIBAACjAwAADgAAAAAAAAABACAAAAAi&#10;AQAAZHJzL2Uyb0RvYy54bWxQSwUGAAAAAAYABgBZAQAAZgUAAAAA&#10;">
              <v:path/>
              <v:fill on="f" focussize="0,0"/>
              <v:stroke on="f" weight="1.25pt"/>
              <v:imagedata o:title=""/>
              <o:lock v:ext="edit" aspectratio="f"/>
              <v:textbox inset="0mm,0mm,0mm,0mm" style="mso-fit-shape-to-text:t;">
                <w:txbxContent>
                  <w:p w14:paraId="32021894">
                    <w:pPr>
                      <w:snapToGrid w:val="0"/>
                      <w:rPr>
                        <w:rFonts w:hint="eastAsia" w:eastAsia="宋体"/>
                        <w:sz w:val="18"/>
                        <w:lang w:eastAsia="zh-CN"/>
                      </w:rPr>
                    </w:pP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016937A">
                          <w:pPr>
                            <w:pStyle w:val="4"/>
                            <w:rPr>
                              <w:rStyle w:val="10"/>
                              <w:rFonts w:hint="eastAsia"/>
                              <w:sz w:val="24"/>
                              <w:szCs w:val="24"/>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yezdItIBAACjAwAADgAAAAAAAAABACAAAAAi&#10;AQAAZHJzL2Uyb0RvYy54bWxQSwUGAAAAAAYABgBZAQAAZgUAAAAA&#10;">
              <v:path/>
              <v:fill on="f" focussize="0,0"/>
              <v:stroke on="f" weight="1.25pt"/>
              <v:imagedata o:title=""/>
              <o:lock v:ext="edit" aspectratio="f"/>
              <v:textbox inset="0mm,0mm,0mm,0mm" style="mso-fit-shape-to-text:t;">
                <w:txbxContent>
                  <w:p w14:paraId="0016937A">
                    <w:pPr>
                      <w:pStyle w:val="4"/>
                      <w:rPr>
                        <w:rStyle w:val="10"/>
                        <w:rFonts w:hint="eastAsia"/>
                        <w:sz w:val="24"/>
                        <w:szCs w:val="24"/>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A0891">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72D729"/>
    <w:multiLevelType w:val="singleLevel"/>
    <w:tmpl w:val="2372D72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6D4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alloon Text"/>
    <w:basedOn w:val="1"/>
    <w:semiHidden/>
    <w:qFormat/>
    <w:uiPriority w:val="0"/>
    <w:rPr>
      <w:sz w:val="18"/>
      <w:szCs w:val="1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w:basedOn w:val="2"/>
    <w:qFormat/>
    <w:uiPriority w:val="0"/>
    <w:pPr>
      <w:ind w:firstLine="420" w:firstLineChars="100"/>
    </w:pPr>
    <w:rPr>
      <w:kern w:val="0"/>
      <w:sz w:val="20"/>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 Char Char2"/>
    <w:basedOn w:val="1"/>
    <w:uiPriority w:val="0"/>
    <w:rPr>
      <w:rFonts w:ascii="Tahoma" w:hAnsi="Tahoma"/>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2026-03-24T01:22:10Z</dcterms:created>
  <dc:creator>user</dc:creator>
  <cp:lastModifiedBy>宸</cp:lastModifiedBy>
  <dcterms:modified xsi:type="dcterms:W3CDTF">2026-03-24T01:22:30Z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eyJoZGlkIjoiNGMyMTRmODk0N2VhMTI2ZWNiNDY3NzhlOTE5NWY5NGEiLCJ1c2VySWQiOiI0NDgwODk4MDYifQ==</vt:lpwstr>
  </property>
  <property fmtid="{D5CDD505-2E9C-101B-9397-08002B2CF9AE}" pid="4" name="ICV">
    <vt:lpwstr>DCF77253B0954D03B04A10F5FAA94980_12</vt:lpwstr>
  </property>
</Properties>
</file>