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bCs/>
          <w:kern w:val="0"/>
          <w:sz w:val="44"/>
          <w:szCs w:val="44"/>
        </w:rPr>
      </w:pPr>
      <w:bookmarkStart w:id="0" w:name="_GoBack"/>
      <w:r>
        <w:rPr>
          <w:rFonts w:hint="eastAsia" w:ascii="方正小标宋简体" w:hAnsi="方正小标宋简体" w:eastAsia="方正小标宋简体" w:cs="方正小标宋简体"/>
          <w:bCs/>
          <w:kern w:val="0"/>
          <w:sz w:val="44"/>
          <w:szCs w:val="44"/>
        </w:rPr>
        <w:t>竞赛规程</w:t>
      </w:r>
    </w:p>
    <w:bookmarkEnd w:id="0"/>
    <w:p>
      <w:pPr>
        <w:widowControl/>
        <w:shd w:val="clear" w:color="auto" w:fill="FFFFFF"/>
        <w:spacing w:line="560" w:lineRule="exact"/>
        <w:jc w:val="center"/>
        <w:rPr>
          <w:rFonts w:hint="eastAsia" w:ascii="方正小标宋简体" w:hAnsi="方正小标宋简体" w:eastAsia="方正小标宋简体" w:cs="方正小标宋简体"/>
          <w:bCs/>
          <w:kern w:val="0"/>
          <w:sz w:val="44"/>
          <w:szCs w:val="44"/>
        </w:rPr>
      </w:pPr>
    </w:p>
    <w:p>
      <w:pPr>
        <w:widowControl/>
        <w:numPr>
          <w:ilvl w:val="0"/>
          <w:numId w:val="1"/>
        </w:numPr>
        <w:shd w:val="clear" w:color="auto" w:fill="FFFFFF"/>
        <w:spacing w:line="560" w:lineRule="exact"/>
        <w:ind w:firstLine="596" w:firstLineChars="200"/>
        <w:jc w:val="left"/>
        <w:rPr>
          <w:rFonts w:hint="eastAsia" w:ascii="黑体" w:hAnsi="宋体" w:eastAsia="黑体" w:cs="宋体"/>
          <w:spacing w:val="-11"/>
          <w:kern w:val="0"/>
          <w:sz w:val="32"/>
          <w:szCs w:val="32"/>
        </w:rPr>
      </w:pPr>
      <w:r>
        <w:rPr>
          <w:rFonts w:hint="eastAsia" w:ascii="黑体" w:hAnsi="宋体" w:eastAsia="黑体" w:cs="宋体"/>
          <w:spacing w:val="-11"/>
          <w:kern w:val="0"/>
          <w:sz w:val="32"/>
          <w:szCs w:val="32"/>
        </w:rPr>
        <w:t>活动名称</w:t>
      </w:r>
    </w:p>
    <w:p>
      <w:pPr>
        <w:widowControl/>
        <w:shd w:val="clear" w:color="auto" w:fill="FFFFFF"/>
        <w:spacing w:line="560" w:lineRule="exact"/>
        <w:ind w:firstLine="640" w:firstLineChars="200"/>
        <w:jc w:val="left"/>
        <w:rPr>
          <w:rFonts w:hint="eastAsia" w:ascii="黑体" w:hAnsi="宋体" w:eastAsia="黑体" w:cs="宋体"/>
          <w:kern w:val="0"/>
          <w:sz w:val="32"/>
          <w:szCs w:val="32"/>
        </w:rPr>
      </w:pPr>
      <w:r>
        <w:rPr>
          <w:rFonts w:hint="eastAsia" w:ascii="仿宋_GB2312" w:hAnsi="仿宋_GB2312" w:eastAsia="仿宋_GB2312" w:cs="仿宋_GB2312"/>
          <w:kern w:val="0"/>
          <w:sz w:val="32"/>
          <w:szCs w:val="32"/>
        </w:rPr>
        <w:t>2024年福建省全民健身运动会老年人乒乓球交流活动</w:t>
      </w:r>
    </w:p>
    <w:p>
      <w:pPr>
        <w:widowControl/>
        <w:numPr>
          <w:ilvl w:val="0"/>
          <w:numId w:val="1"/>
        </w:numPr>
        <w:shd w:val="clear" w:color="auto" w:fill="FFFFFF"/>
        <w:spacing w:line="560" w:lineRule="exact"/>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主办单位</w:t>
      </w:r>
    </w:p>
    <w:p>
      <w:pPr>
        <w:widowControl/>
        <w:shd w:val="clear" w:color="auto" w:fill="FFFFFF"/>
        <w:spacing w:line="560" w:lineRule="exact"/>
        <w:ind w:firstLine="588" w:firstLineChars="200"/>
        <w:jc w:val="left"/>
        <w:rPr>
          <w:rFonts w:hint="eastAsia" w:ascii="仿宋_GB2312" w:hAnsi="仿宋_GB2312" w:eastAsia="仿宋_GB2312" w:cs="仿宋_GB2312"/>
          <w:spacing w:val="-11"/>
          <w:w w:val="99"/>
          <w:kern w:val="0"/>
          <w:sz w:val="32"/>
          <w:szCs w:val="32"/>
        </w:rPr>
      </w:pPr>
      <w:r>
        <w:rPr>
          <w:rFonts w:hint="eastAsia" w:ascii="仿宋_GB2312" w:hAnsi="仿宋_GB2312" w:eastAsia="仿宋_GB2312" w:cs="仿宋_GB2312"/>
          <w:spacing w:val="-11"/>
          <w:w w:val="99"/>
          <w:kern w:val="0"/>
          <w:sz w:val="32"/>
          <w:szCs w:val="32"/>
        </w:rPr>
        <w:t>福建省全民健身领导小组</w:t>
      </w:r>
    </w:p>
    <w:p>
      <w:pPr>
        <w:widowControl/>
        <w:shd w:val="clear" w:color="auto" w:fill="FFFFFF"/>
        <w:spacing w:line="560" w:lineRule="exact"/>
        <w:ind w:firstLine="588" w:firstLineChars="200"/>
        <w:jc w:val="left"/>
        <w:rPr>
          <w:rFonts w:hint="eastAsia" w:ascii="仿宋_GB2312" w:hAnsi="仿宋_GB2312" w:eastAsia="仿宋_GB2312" w:cs="仿宋_GB2312"/>
          <w:spacing w:val="-11"/>
          <w:w w:val="99"/>
          <w:kern w:val="0"/>
          <w:sz w:val="32"/>
          <w:szCs w:val="32"/>
        </w:rPr>
      </w:pPr>
      <w:r>
        <w:rPr>
          <w:rFonts w:hint="eastAsia" w:ascii="仿宋_GB2312" w:hAnsi="仿宋_GB2312" w:eastAsia="仿宋_GB2312" w:cs="仿宋_GB2312"/>
          <w:spacing w:val="-11"/>
          <w:w w:val="99"/>
          <w:kern w:val="0"/>
          <w:sz w:val="32"/>
          <w:szCs w:val="32"/>
        </w:rPr>
        <w:t>福建省老年人体育协会</w:t>
      </w:r>
    </w:p>
    <w:p>
      <w:pPr>
        <w:widowControl/>
        <w:numPr>
          <w:ilvl w:val="0"/>
          <w:numId w:val="1"/>
        </w:numPr>
        <w:shd w:val="clear" w:color="auto" w:fill="FFFFFF"/>
        <w:spacing w:line="560" w:lineRule="exact"/>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承办单位</w:t>
      </w:r>
    </w:p>
    <w:p>
      <w:pPr>
        <w:widowControl/>
        <w:shd w:val="clear" w:color="auto" w:fill="FFFFFF"/>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福建省老年人体育工作中心</w:t>
      </w:r>
    </w:p>
    <w:p>
      <w:pPr>
        <w:pStyle w:val="10"/>
        <w:ind w:firstLine="640"/>
        <w:rPr>
          <w:rFonts w:hint="eastAsia" w:eastAsia="仿宋_GB2312"/>
        </w:rPr>
      </w:pPr>
      <w:r>
        <w:rPr>
          <w:rFonts w:hint="eastAsia" w:ascii="仿宋_GB2312" w:hAnsi="仿宋_GB2312" w:eastAsia="仿宋_GB2312" w:cs="仿宋_GB2312"/>
          <w:sz w:val="32"/>
        </w:rPr>
        <w:t>福建省老年人体育协会乒乓球专委会</w:t>
      </w:r>
    </w:p>
    <w:p>
      <w:pPr>
        <w:widowControl/>
        <w:numPr>
          <w:ilvl w:val="0"/>
          <w:numId w:val="1"/>
        </w:numPr>
        <w:shd w:val="clear" w:color="auto" w:fill="FFFFFF"/>
        <w:spacing w:line="560" w:lineRule="exact"/>
        <w:ind w:firstLine="596" w:firstLineChars="200"/>
        <w:jc w:val="left"/>
        <w:rPr>
          <w:rFonts w:hint="eastAsia" w:ascii="黑体" w:hAnsi="宋体" w:eastAsia="黑体" w:cs="宋体"/>
          <w:kern w:val="0"/>
          <w:sz w:val="32"/>
          <w:szCs w:val="32"/>
        </w:rPr>
      </w:pPr>
      <w:r>
        <w:rPr>
          <w:rFonts w:hint="eastAsia" w:ascii="黑体" w:hAnsi="宋体" w:eastAsia="黑体" w:cs="宋体"/>
          <w:spacing w:val="-11"/>
          <w:kern w:val="0"/>
          <w:sz w:val="32"/>
          <w:szCs w:val="32"/>
        </w:rPr>
        <w:t>时间与地点</w:t>
      </w:r>
    </w:p>
    <w:p>
      <w:pPr>
        <w:widowControl/>
        <w:numPr>
          <w:ilvl w:val="0"/>
          <w:numId w:val="2"/>
        </w:numPr>
        <w:shd w:val="clear" w:color="auto" w:fill="FFFFFF"/>
        <w:spacing w:line="560" w:lineRule="exact"/>
        <w:jc w:val="left"/>
        <w:rPr>
          <w:rFonts w:ascii="仿宋_GB2312" w:hAnsi="仿宋_GB2312" w:eastAsia="仿宋_GB2312" w:cs="仿宋_GB2312"/>
          <w:spacing w:val="-11"/>
          <w:w w:val="99"/>
          <w:kern w:val="0"/>
          <w:sz w:val="32"/>
          <w:szCs w:val="32"/>
        </w:rPr>
      </w:pPr>
      <w:r>
        <w:rPr>
          <w:rFonts w:hint="eastAsia" w:ascii="仿宋_GB2312" w:hAnsi="仿宋_GB2312" w:eastAsia="仿宋_GB2312" w:cs="仿宋_GB2312"/>
          <w:spacing w:val="-11"/>
          <w:w w:val="99"/>
          <w:kern w:val="0"/>
          <w:sz w:val="32"/>
          <w:szCs w:val="32"/>
        </w:rPr>
        <w:t>时间：2024年4月25日-29日（25日下午报到，26日-28</w:t>
      </w:r>
    </w:p>
    <w:p>
      <w:pPr>
        <w:widowControl/>
        <w:shd w:val="clear" w:color="auto" w:fill="FFFFFF"/>
        <w:spacing w:line="560" w:lineRule="exact"/>
        <w:jc w:val="left"/>
        <w:rPr>
          <w:rFonts w:hint="eastAsia" w:ascii="仿宋_GB2312" w:hAnsi="仿宋_GB2312" w:eastAsia="仿宋_GB2312" w:cs="仿宋_GB2312"/>
          <w:spacing w:val="-11"/>
          <w:w w:val="99"/>
          <w:kern w:val="0"/>
          <w:sz w:val="32"/>
          <w:szCs w:val="32"/>
        </w:rPr>
      </w:pPr>
      <w:r>
        <w:rPr>
          <w:rFonts w:hint="eastAsia" w:ascii="仿宋_GB2312" w:hAnsi="仿宋_GB2312" w:eastAsia="仿宋_GB2312" w:cs="仿宋_GB2312"/>
          <w:spacing w:val="-11"/>
          <w:w w:val="99"/>
          <w:kern w:val="0"/>
          <w:sz w:val="32"/>
          <w:szCs w:val="32"/>
        </w:rPr>
        <w:t>日交流比赛，29日上午离会。）</w:t>
      </w:r>
    </w:p>
    <w:p>
      <w:pPr>
        <w:widowControl/>
        <w:numPr>
          <w:ilvl w:val="0"/>
          <w:numId w:val="2"/>
        </w:numPr>
        <w:shd w:val="clear" w:color="auto" w:fill="FFFFFF"/>
        <w:spacing w:line="560" w:lineRule="exact"/>
        <w:jc w:val="left"/>
        <w:rPr>
          <w:rFonts w:hint="eastAsia" w:ascii="仿宋_GB2312" w:hAnsi="仿宋_GB2312" w:eastAsia="仿宋_GB2312" w:cs="仿宋_GB2312"/>
          <w:spacing w:val="-11"/>
          <w:w w:val="99"/>
          <w:kern w:val="0"/>
          <w:sz w:val="32"/>
          <w:szCs w:val="32"/>
        </w:rPr>
      </w:pPr>
      <w:r>
        <w:rPr>
          <w:rFonts w:hint="eastAsia" w:ascii="仿宋_GB2312" w:hAnsi="仿宋_GB2312" w:eastAsia="仿宋_GB2312" w:cs="仿宋_GB2312"/>
          <w:w w:val="99"/>
          <w:sz w:val="32"/>
          <w:szCs w:val="32"/>
        </w:rPr>
        <w:t>福建省老年人体育中心体育综合楼一楼乒乓球馆(</w:t>
      </w:r>
      <w:r>
        <w:rPr>
          <w:rFonts w:hint="eastAsia" w:ascii="仿宋_GB2312" w:hAnsi="宋体" w:eastAsia="仿宋_GB2312"/>
          <w:sz w:val="32"/>
          <w:szCs w:val="32"/>
        </w:rPr>
        <w:t>福</w:t>
      </w:r>
    </w:p>
    <w:p>
      <w:pPr>
        <w:widowControl/>
        <w:shd w:val="clear" w:color="auto" w:fill="FFFFFF"/>
        <w:spacing w:line="560" w:lineRule="exact"/>
        <w:jc w:val="left"/>
        <w:rPr>
          <w:rFonts w:hint="eastAsia" w:ascii="仿宋_GB2312" w:hAnsi="仿宋_GB2312" w:eastAsia="仿宋_GB2312" w:cs="仿宋_GB2312"/>
          <w:spacing w:val="-11"/>
          <w:w w:val="99"/>
          <w:kern w:val="0"/>
          <w:sz w:val="32"/>
          <w:szCs w:val="32"/>
        </w:rPr>
      </w:pPr>
      <w:r>
        <w:rPr>
          <w:rFonts w:hint="eastAsia" w:ascii="仿宋_GB2312" w:hAnsi="宋体" w:eastAsia="仿宋_GB2312"/>
          <w:sz w:val="32"/>
          <w:szCs w:val="32"/>
        </w:rPr>
        <w:t>州市晋安区新店镇南平东路72号</w:t>
      </w:r>
      <w:r>
        <w:rPr>
          <w:rFonts w:hint="eastAsia" w:ascii="黑体" w:hAnsi="黑体" w:eastAsia="黑体" w:cs="黑体"/>
          <w:w w:val="99"/>
          <w:sz w:val="32"/>
          <w:szCs w:val="32"/>
        </w:rPr>
        <w:t>)</w:t>
      </w:r>
      <w:r>
        <w:rPr>
          <w:rFonts w:hint="eastAsia" w:ascii="仿宋_GB2312" w:hAnsi="仿宋_GB2312" w:eastAsia="仿宋_GB2312" w:cs="仿宋_GB2312"/>
          <w:spacing w:val="-11"/>
          <w:w w:val="99"/>
          <w:kern w:val="0"/>
          <w:sz w:val="32"/>
          <w:szCs w:val="32"/>
        </w:rPr>
        <w:t>。</w:t>
      </w:r>
    </w:p>
    <w:p>
      <w:pPr>
        <w:widowControl/>
        <w:shd w:val="clear" w:color="auto" w:fill="FFFFFF"/>
        <w:spacing w:line="560" w:lineRule="exact"/>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五、项目设置</w:t>
      </w:r>
    </w:p>
    <w:p>
      <w:pPr>
        <w:widowControl/>
        <w:shd w:val="clear" w:color="auto" w:fill="FFFFFF"/>
        <w:spacing w:line="560" w:lineRule="exact"/>
        <w:ind w:left="633"/>
        <w:jc w:val="left"/>
        <w:rPr>
          <w:rFonts w:hint="eastAsia" w:ascii="仿宋_GB2312" w:hAnsi="仿宋_GB2312" w:eastAsia="仿宋_GB2312" w:cs="仿宋_GB2312"/>
          <w:w w:val="99"/>
          <w:kern w:val="0"/>
          <w:sz w:val="32"/>
          <w:szCs w:val="32"/>
        </w:rPr>
      </w:pPr>
      <w:r>
        <w:rPr>
          <w:rFonts w:hint="eastAsia" w:ascii="仿宋_GB2312" w:hAnsi="仿宋_GB2312" w:eastAsia="仿宋_GB2312" w:cs="仿宋_GB2312"/>
          <w:sz w:val="32"/>
          <w:szCs w:val="32"/>
        </w:rPr>
        <w:t>混合团体、男女单打</w:t>
      </w:r>
    </w:p>
    <w:p>
      <w:pPr>
        <w:widowControl/>
        <w:shd w:val="clear" w:color="auto" w:fill="FFFFFF"/>
        <w:spacing w:line="560" w:lineRule="exact"/>
        <w:ind w:left="633"/>
        <w:jc w:val="left"/>
        <w:rPr>
          <w:rFonts w:hint="eastAsia" w:ascii="黑体" w:hAnsi="宋体" w:eastAsia="黑体" w:cs="宋体"/>
          <w:kern w:val="0"/>
          <w:sz w:val="32"/>
          <w:szCs w:val="32"/>
        </w:rPr>
      </w:pPr>
      <w:r>
        <w:rPr>
          <w:rFonts w:hint="eastAsia" w:ascii="黑体" w:hAnsi="宋体" w:eastAsia="黑体" w:cs="宋体"/>
          <w:kern w:val="0"/>
          <w:sz w:val="32"/>
          <w:szCs w:val="32"/>
        </w:rPr>
        <w:t>六、参加办法</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（一）混合团体：每单位可报1支队伍。每队可报领队兼教练员1人，男、女队员各4人。</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男女单打：每单位可报男、女队员各2人。</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每名队员只能报团体或单打的其中一项，不能兼项。</w:t>
      </w:r>
    </w:p>
    <w:p>
      <w:pPr>
        <w:adjustRightInd w:val="0"/>
        <w:snapToGrid w:val="0"/>
        <w:spacing w:line="560" w:lineRule="exact"/>
        <w:ind w:firstLine="640" w:firstLineChars="200"/>
        <w:rPr>
          <w:rFonts w:hint="eastAsia"/>
        </w:rPr>
      </w:pPr>
      <w:r>
        <w:rPr>
          <w:rFonts w:hint="eastAsia" w:ascii="仿宋_GB2312" w:hAnsi="仿宋_GB2312" w:eastAsia="仿宋_GB2312" w:cs="仿宋_GB2312"/>
          <w:color w:val="000000"/>
          <w:sz w:val="32"/>
          <w:szCs w:val="32"/>
        </w:rPr>
        <w:t>（二）年龄要求：男队员</w:t>
      </w:r>
      <w:r>
        <w:rPr>
          <w:rFonts w:hint="eastAsia" w:ascii="仿宋_GB2312" w:hAnsi="仿宋_GB2312" w:eastAsia="仿宋_GB2312" w:cs="仿宋_GB2312"/>
          <w:sz w:val="32"/>
          <w:szCs w:val="32"/>
        </w:rPr>
        <w:t>58岁（1966年出生）至68岁（1956年出生），</w:t>
      </w:r>
      <w:r>
        <w:rPr>
          <w:rFonts w:hint="eastAsia" w:ascii="仿宋_GB2312" w:hAnsi="仿宋_GB2312" w:eastAsia="仿宋_GB2312" w:cs="仿宋_GB2312"/>
          <w:color w:val="000000"/>
          <w:sz w:val="32"/>
          <w:szCs w:val="32"/>
        </w:rPr>
        <w:t>女队员</w:t>
      </w:r>
      <w:r>
        <w:rPr>
          <w:rFonts w:hint="eastAsia" w:ascii="仿宋_GB2312" w:hAnsi="仿宋_GB2312" w:eastAsia="仿宋_GB2312" w:cs="仿宋_GB2312"/>
          <w:sz w:val="32"/>
          <w:szCs w:val="32"/>
        </w:rPr>
        <w:t>53岁（1971年出生）至68岁（1956年出生）。</w:t>
      </w:r>
    </w:p>
    <w:p>
      <w:pPr>
        <w:widowControl/>
        <w:shd w:val="clear" w:color="auto" w:fill="FFFFFF"/>
        <w:spacing w:line="560" w:lineRule="exact"/>
        <w:ind w:firstLine="640" w:firstLineChars="200"/>
        <w:jc w:val="left"/>
        <w:rPr>
          <w:rFonts w:hint="eastAsia" w:ascii="宋体" w:hAnsi="宋体" w:eastAsia="黑体" w:cs="宋体"/>
          <w:kern w:val="0"/>
          <w:szCs w:val="21"/>
        </w:rPr>
      </w:pPr>
      <w:r>
        <w:rPr>
          <w:rFonts w:hint="eastAsia" w:ascii="黑体" w:hAnsi="宋体" w:eastAsia="黑体" w:cs="宋体"/>
          <w:kern w:val="0"/>
          <w:sz w:val="32"/>
          <w:szCs w:val="32"/>
        </w:rPr>
        <w:t>七、交流办法</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（一）执行中国乒乓球协会2022年审定颁布的《乒乓球竞赛规则》。比赛暂不执行无遮挡发球规则。</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（二）团体赛出场顺序为：男子单打、女子双打、女子单打、男子双打、混合双打。每名运动员仅限出场一次。</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团体比赛分两个阶段进行，第一阶段根据参赛队数进行分组循环赛，且需打满5场，胜者积3分，(2-3)负积2分，(1-4)负积1分，(0-5)负积0分，弃权积0分。每场比赛采用三局二胜制，每局11分制。同组两队积分相同时，比较相互间的胜负关系，胜者在前，三队或以上积分相同时，则计算他们之间的胜负比率，高者在前。第二阶段单淘汰附加赛，采用五场三胜制。决出所有名次。</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（四）团体赛中若有运动员因伤病不能参赛的，领队兼教练符合队员资格者可替补参赛，一旦该替补队员上场比赛，其后所有的比赛均不能再换回原队员（只能更换同性别,且只能更换一人）。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（五）男女单打均采用5局3胜制。分两个阶段进行，第一阶段根据参赛人数进行分组循环赛，取小组前2名进入第二阶段，采用单淘汰附加赛，决出男女各前八名。</w:t>
      </w:r>
    </w:p>
    <w:p>
      <w:pPr>
        <w:adjustRightInd w:val="0"/>
        <w:snapToGrid w:val="0"/>
        <w:spacing w:line="560" w:lineRule="exact"/>
        <w:ind w:firstLine="640" w:firstLineChars="200"/>
        <w:rPr>
          <w:rFonts w:eastAsia="仿宋_GB2312"/>
        </w:rPr>
      </w:pPr>
      <w:r>
        <w:rPr>
          <w:rFonts w:hint="eastAsia" w:ascii="仿宋_GB2312" w:hAnsi="仿宋_GB2312" w:cs="仿宋_GB2312"/>
          <w:color w:val="000000"/>
          <w:sz w:val="32"/>
          <w:szCs w:val="32"/>
        </w:rPr>
        <w:t>（六）</w:t>
      </w:r>
      <w:r>
        <w:rPr>
          <w:rFonts w:hint="eastAsia" w:ascii="仿宋_GB2312" w:hAnsi="仿宋_GB2312" w:eastAsia="仿宋_GB2312" w:cs="仿宋_GB2312"/>
          <w:color w:val="000000"/>
          <w:w w:val="97"/>
          <w:sz w:val="32"/>
          <w:szCs w:val="32"/>
        </w:rPr>
        <w:t>单项比赛不得使用替补上场，无法参赛的按弃权处理。</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八、种子</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（一）团体赛：按2022年福建省第十一届老年人体育健身大会乒乓球项目交流赛的成绩设定种子，前8名按蛇形排列进入各组，其余代表队随机抽入各小组。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（二）男女单打：不设种子选手，采用随机抽签的形式进行分组。</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九、器材与服装</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（一）用球：红双喜赛顶D40＋三星乒乓球。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（二）球拍覆盖物必须符合有关规则的要求，并有ITTF的标记，且覆盖物不能经过任何物理的、化学的或其他处理。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（三）参加团体比赛的运动员服装必须颜色、款式一致，服装主体颜色不得为白色。</w:t>
      </w:r>
    </w:p>
    <w:p>
      <w:pPr>
        <w:pStyle w:val="10"/>
        <w:spacing w:line="56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十、奖励办法</w:t>
      </w:r>
    </w:p>
    <w:p>
      <w:pPr>
        <w:pStyle w:val="10"/>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（一）混合团体：按参赛队数，60%为优胜奖、40%为优秀奖，发给奖杯。</w:t>
      </w:r>
    </w:p>
    <w:p>
      <w:pPr>
        <w:pStyle w:val="10"/>
        <w:spacing w:line="560" w:lineRule="exact"/>
        <w:ind w:firstLine="640"/>
        <w:rPr>
          <w:rFonts w:hint="eastAsia" w:ascii="仿宋" w:hAnsi="仿宋" w:eastAsia="仿宋"/>
          <w:color w:val="00000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w w:val="97"/>
          <w:kern w:val="0"/>
          <w:sz w:val="32"/>
          <w:szCs w:val="32"/>
        </w:rPr>
        <w:t>男女单打：1-4名为金奖，5-8名为银奖，其余为铜奖。</w:t>
      </w:r>
    </w:p>
    <w:p>
      <w:pPr>
        <w:widowControl/>
        <w:shd w:val="clear" w:color="auto" w:fill="FFFFFF"/>
        <w:spacing w:line="560" w:lineRule="exact"/>
        <w:ind w:firstLine="640" w:firstLineChars="200"/>
        <w:jc w:val="left"/>
        <w:rPr>
          <w:rFonts w:ascii="宋体" w:hAnsi="宋体" w:cs="宋体"/>
          <w:kern w:val="0"/>
          <w:szCs w:val="21"/>
        </w:rPr>
      </w:pPr>
      <w:r>
        <w:rPr>
          <w:rFonts w:hint="eastAsia" w:ascii="黑体" w:hAnsi="宋体" w:eastAsia="黑体" w:cs="宋体"/>
          <w:kern w:val="0"/>
          <w:sz w:val="32"/>
          <w:szCs w:val="32"/>
        </w:rPr>
        <w:t>十一、安全保险</w:t>
      </w:r>
    </w:p>
    <w:p>
      <w:pPr>
        <w:widowControl/>
        <w:shd w:val="clear" w:color="auto" w:fill="FFFFFF"/>
        <w:spacing w:line="560" w:lineRule="exact"/>
        <w:ind w:firstLine="633"/>
        <w:jc w:val="left"/>
        <w:rPr>
          <w:rFonts w:ascii="宋体" w:hAnsi="宋体" w:cs="宋体"/>
          <w:kern w:val="0"/>
          <w:szCs w:val="21"/>
        </w:rPr>
      </w:pPr>
      <w:r>
        <w:rPr>
          <w:rFonts w:hint="eastAsia" w:ascii="仿宋_GB2312" w:hAnsi="宋体" w:eastAsia="仿宋_GB2312" w:cs="宋体"/>
          <w:kern w:val="0"/>
          <w:sz w:val="32"/>
          <w:szCs w:val="32"/>
        </w:rPr>
        <w:t>（一）主办单位为大会购买团体意外责任险。</w:t>
      </w:r>
    </w:p>
    <w:p>
      <w:pPr>
        <w:widowControl/>
        <w:shd w:val="clear" w:color="auto" w:fill="FFFFFF"/>
        <w:spacing w:line="560" w:lineRule="exact"/>
        <w:ind w:firstLine="633"/>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（二）参加人员须按照要求购买人身意外伤害保险，未办理保险的人员，不得参加交流活动。</w:t>
      </w:r>
    </w:p>
    <w:p>
      <w:pPr>
        <w:widowControl/>
        <w:shd w:val="clear" w:color="auto" w:fill="FFFFFF"/>
        <w:spacing w:line="560" w:lineRule="exact"/>
        <w:ind w:firstLine="633"/>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（三）赛期大会提供医疗服务，但在比赛期间发生的疾病、伤病，其治疗费用和责任自负。</w:t>
      </w:r>
    </w:p>
    <w:p>
      <w:pPr>
        <w:widowControl/>
        <w:shd w:val="clear" w:color="auto" w:fill="FFFFFF"/>
        <w:spacing w:line="560" w:lineRule="exact"/>
        <w:ind w:firstLine="640" w:firstLineChars="200"/>
        <w:jc w:val="left"/>
        <w:rPr>
          <w:rFonts w:ascii="宋体" w:hAnsi="宋体" w:cs="宋体"/>
          <w:kern w:val="0"/>
          <w:szCs w:val="21"/>
        </w:rPr>
      </w:pPr>
      <w:r>
        <w:rPr>
          <w:rFonts w:hint="eastAsia" w:ascii="黑体" w:hAnsi="宋体" w:eastAsia="黑体" w:cs="宋体"/>
          <w:kern w:val="0"/>
          <w:sz w:val="32"/>
          <w:szCs w:val="32"/>
        </w:rPr>
        <w:t>十二、经费</w:t>
      </w:r>
    </w:p>
    <w:p>
      <w:pPr>
        <w:widowControl/>
        <w:shd w:val="clear" w:color="auto" w:fill="FFFFFF"/>
        <w:spacing w:line="560" w:lineRule="exact"/>
        <w:ind w:firstLine="640"/>
        <w:jc w:val="left"/>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一</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各代表队差旅费、住宿费、医疗费</w:t>
      </w:r>
      <w:r>
        <w:rPr>
          <w:rFonts w:hint="eastAsia" w:ascii="仿宋_GB2312" w:hAnsi="宋体" w:eastAsia="仿宋_GB2312" w:cs="仿宋_GB2312"/>
          <w:kern w:val="0"/>
          <w:sz w:val="32"/>
          <w:szCs w:val="32"/>
          <w:shd w:val="clear" w:color="auto" w:fill="FFFFFF"/>
        </w:rPr>
        <w:t>、</w:t>
      </w:r>
      <w:r>
        <w:rPr>
          <w:rFonts w:hint="eastAsia" w:ascii="仿宋_GB2312" w:hAnsi="宋体" w:eastAsia="仿宋_GB2312" w:cs="宋体"/>
          <w:kern w:val="0"/>
          <w:sz w:val="32"/>
          <w:szCs w:val="32"/>
        </w:rPr>
        <w:t>保险费</w:t>
      </w:r>
      <w:r>
        <w:rPr>
          <w:rFonts w:ascii="仿宋_GB2312" w:hAnsi="宋体" w:eastAsia="仿宋_GB2312" w:cs="仿宋_GB2312"/>
          <w:kern w:val="0"/>
          <w:sz w:val="32"/>
          <w:szCs w:val="32"/>
          <w:shd w:val="clear" w:color="auto" w:fill="FFFFFF"/>
        </w:rPr>
        <w:t>等由</w:t>
      </w:r>
      <w:r>
        <w:rPr>
          <w:rFonts w:hint="eastAsia" w:ascii="仿宋_GB2312" w:hAnsi="宋体" w:eastAsia="仿宋_GB2312" w:cs="仿宋_GB2312"/>
          <w:kern w:val="0"/>
          <w:sz w:val="32"/>
          <w:szCs w:val="32"/>
          <w:shd w:val="clear" w:color="auto" w:fill="FFFFFF"/>
        </w:rPr>
        <w:t>派出</w:t>
      </w:r>
      <w:r>
        <w:rPr>
          <w:rFonts w:ascii="仿宋_GB2312" w:hAnsi="宋体" w:eastAsia="仿宋_GB2312" w:cs="仿宋_GB2312"/>
          <w:kern w:val="0"/>
          <w:sz w:val="32"/>
          <w:szCs w:val="32"/>
          <w:shd w:val="clear" w:color="auto" w:fill="FFFFFF"/>
        </w:rPr>
        <w:t>单位承担</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伙食费及其它费用</w:t>
      </w:r>
      <w:r>
        <w:rPr>
          <w:rFonts w:hint="eastAsia" w:ascii="仿宋_GB2312" w:hAnsi="仿宋_GB2312" w:eastAsia="仿宋_GB2312" w:cs="仿宋_GB2312"/>
          <w:w w:val="99"/>
          <w:sz w:val="32"/>
          <w:szCs w:val="32"/>
        </w:rPr>
        <w:t>由省老年人体育工作中心</w:t>
      </w:r>
      <w:r>
        <w:rPr>
          <w:rFonts w:ascii="仿宋_GB2312" w:hAnsi="宋体" w:eastAsia="仿宋_GB2312" w:cs="仿宋_GB2312"/>
          <w:kern w:val="0"/>
          <w:sz w:val="32"/>
          <w:szCs w:val="32"/>
          <w:shd w:val="clear" w:color="auto" w:fill="FFFFFF"/>
        </w:rPr>
        <w:t>负责。</w:t>
      </w:r>
      <w:r>
        <w:rPr>
          <w:rFonts w:hint="eastAsia" w:ascii="仿宋_GB2312" w:hAnsi="宋体" w:eastAsia="仿宋_GB2312" w:cs="仿宋_GB2312"/>
          <w:kern w:val="0"/>
          <w:sz w:val="32"/>
          <w:szCs w:val="32"/>
          <w:shd w:val="clear" w:color="auto" w:fill="FFFFFF"/>
        </w:rPr>
        <w:t>悦溪廷酒店（福州火车站店)住宿标准248元/间；悦溪廷酒店二店住宿标准268元/间。</w:t>
      </w:r>
    </w:p>
    <w:p>
      <w:pPr>
        <w:widowControl/>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（二）选调的仲裁、裁判人员食宿费、交通费、服装费由省老年人体育工作中心负责，医疗费自理。</w:t>
      </w:r>
    </w:p>
    <w:p>
      <w:pPr>
        <w:pStyle w:val="2"/>
        <w:spacing w:line="560" w:lineRule="exact"/>
        <w:ind w:firstLine="640" w:firstLineChars="200"/>
        <w:rPr>
          <w:rFonts w:hint="eastAsia" w:ascii="仿宋_GB2312" w:hAnsi="仿宋_GB2312" w:cs="仿宋_GB2312"/>
          <w:spacing w:val="-6"/>
          <w:w w:val="97"/>
          <w:kern w:val="0"/>
          <w:sz w:val="32"/>
          <w:szCs w:val="32"/>
          <w:shd w:val="clear" w:color="auto" w:fill="FFFFFF"/>
        </w:rPr>
      </w:pPr>
      <w:r>
        <w:rPr>
          <w:rFonts w:hint="eastAsia" w:ascii="仿宋_GB2312" w:hAnsi="宋体" w:cs="宋体"/>
          <w:kern w:val="0"/>
          <w:sz w:val="32"/>
          <w:szCs w:val="32"/>
        </w:rPr>
        <w:t>（三）参赛人员</w:t>
      </w:r>
      <w:r>
        <w:rPr>
          <w:rFonts w:hint="eastAsia" w:ascii="仿宋_GB2312" w:hAnsi="仿宋_GB2312" w:cs="仿宋_GB2312"/>
          <w:spacing w:val="-6"/>
          <w:w w:val="97"/>
          <w:kern w:val="0"/>
          <w:sz w:val="32"/>
          <w:szCs w:val="32"/>
          <w:shd w:val="clear" w:color="auto" w:fill="FFFFFF"/>
        </w:rPr>
        <w:t>提前报到或延期离会所产生的费用一律自理。</w:t>
      </w:r>
    </w:p>
    <w:p>
      <w:pPr>
        <w:pStyle w:val="6"/>
        <w:numPr>
          <w:ilvl w:val="0"/>
          <w:numId w:val="3"/>
        </w:numPr>
        <w:shd w:val="clear" w:color="auto" w:fill="FFFFFF"/>
        <w:spacing w:before="0" w:beforeAutospacing="0" w:after="0" w:afterAutospacing="0" w:line="560" w:lineRule="exact"/>
        <w:ind w:firstLine="640" w:firstLineChars="200"/>
        <w:rPr>
          <w:rStyle w:val="9"/>
          <w:rFonts w:hint="eastAsia" w:ascii="黑体" w:hAnsi="黑体" w:eastAsia="黑体" w:cs="黑体"/>
          <w:b w:val="0"/>
          <w:bCs w:val="0"/>
          <w:sz w:val="32"/>
          <w:szCs w:val="32"/>
        </w:rPr>
      </w:pPr>
      <w:r>
        <w:rPr>
          <w:rStyle w:val="9"/>
          <w:rFonts w:hint="eastAsia" w:ascii="黑体" w:hAnsi="黑体" w:eastAsia="黑体" w:cs="黑体"/>
          <w:b w:val="0"/>
          <w:bCs w:val="0"/>
          <w:sz w:val="32"/>
          <w:szCs w:val="32"/>
        </w:rPr>
        <w:t>资格审查</w:t>
      </w:r>
    </w:p>
    <w:p>
      <w:pPr>
        <w:pStyle w:val="6"/>
        <w:shd w:val="clear" w:color="auto" w:fill="FFFFFF"/>
        <w:spacing w:before="0" w:beforeAutospacing="0" w:after="0" w:afterAutospacing="0" w:line="560" w:lineRule="exact"/>
        <w:ind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w w:val="97"/>
          <w:sz w:val="32"/>
          <w:szCs w:val="32"/>
        </w:rPr>
        <w:t>（一）</w:t>
      </w:r>
      <w:r>
        <w:rPr>
          <w:rFonts w:hint="eastAsia" w:ascii="仿宋_GB2312" w:hAnsi="仿宋_GB2312" w:eastAsia="仿宋_GB2312" w:cs="仿宋_GB2312"/>
          <w:w w:val="97"/>
          <w:sz w:val="32"/>
          <w:szCs w:val="32"/>
          <w:shd w:val="clear" w:color="auto" w:fill="FFFFFF"/>
          <w:lang w:bidi="ar"/>
        </w:rPr>
        <w:t>参加活动人员</w:t>
      </w:r>
      <w:r>
        <w:rPr>
          <w:rFonts w:hint="eastAsia" w:ascii="仿宋_GB2312" w:hAnsi="仿宋_GB2312" w:eastAsia="仿宋_GB2312" w:cs="仿宋_GB2312"/>
          <w:w w:val="97"/>
          <w:sz w:val="32"/>
          <w:szCs w:val="32"/>
        </w:rPr>
        <w:t>须持县级以上医院出具的身体健康证明。</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参加活动以本人自愿、亲属支持为原则，参加交流活动的人员及家属须签署《自愿参加责任书》。</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sz w:val="32"/>
          <w:szCs w:val="32"/>
        </w:rPr>
        <w:t>报到时须向大会提供参赛人员的保险单据、体检材料、自愿参加责任书进行审核，未能提供上述材料者，不允许参加本次交流活动。</w:t>
      </w:r>
    </w:p>
    <w:p>
      <w:pPr>
        <w:pStyle w:val="6"/>
        <w:shd w:val="clear" w:color="auto" w:fill="FFFFFF"/>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十四、报名和报到</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（一）各单位请于4月5日前，将加盖公章的报名表或电子版形式上报至省老体中心健运科（联系人：陈晓霞，联系电话：0591-85165392，邮箱：394983850@qq.com。）</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（二）报到事宜</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请裁判人员和外地参赛队伍于4月25日下午自行到酒店报到，福州市城区参赛队伍于26日上午8:00直接到场地报到并参赛。</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1.裁判人员和漳州、三明、南平、龙岩队入住悦溪廷酒店（福州火车站店)（地址：福州市晋安区晋安区秀山路287-6号，总台电话：0591-88207722）。</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2.厦门、泉州、莆田、宁德、平潭队入住悦溪廷酒店二店（原福州伊施戴尔钻石精品酒店，地址：福州市晋安区五四北秀峰路188号闽台AD创意园6栋）。</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3.行车线路推荐：</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（1）悦溪廷酒店（福州火车站店)</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福州火车北站：①乘坐331路或182路公交车，在火车站北广场站（东侧候车处）上车，厦坊村站下车，再步行700米左右，即可到达；②打车需10分钟，约15元。</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福州火车南站：乘坐地铁1号线，到罗汉山站下车，再乘坐332路公交车至秀山路站下车，步行200米，即可到达。（用时约50分钟）</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（2）悦溪廷酒店二店</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福州火车北站：①乘坐182路公交车，在火车站北广场站（东侧候车处）上车，坂中秀峰路口站下车，再步行110米，即可到达；②打车需10分钟，约15元。</w:t>
      </w:r>
    </w:p>
    <w:p>
      <w:pPr>
        <w:pStyle w:val="6"/>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福州火车南站：乘坐地铁1号线，到秀山站（D口）出，再步行至地铁秀山站，乘坐128路或182路公交车至坂中秀峰路口站下车，再步行110米，即可到达。（用时约50分钟）</w:t>
      </w:r>
    </w:p>
    <w:p>
      <w:pPr>
        <w:pStyle w:val="2"/>
        <w:spacing w:line="560" w:lineRule="exact"/>
        <w:ind w:firstLine="640" w:firstLineChars="2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十五、本次乒乓球交流活动相关注意事项（附后）。</w:t>
      </w:r>
    </w:p>
    <w:p>
      <w:pPr>
        <w:pStyle w:val="2"/>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shd w:val="clear" w:color="auto" w:fill="FFFFFF"/>
        </w:rPr>
        <w:t>十六、新规定或未尽事宜，另行通知。</w:t>
      </w:r>
    </w:p>
    <w:p>
      <w:pPr>
        <w:widowControl/>
        <w:shd w:val="clear" w:color="auto" w:fill="FFFFFF"/>
        <w:spacing w:line="560" w:lineRule="exact"/>
        <w:rPr>
          <w:rFonts w:hint="eastAsia" w:ascii="方正小标宋简体" w:hAnsi="方正小标宋简体" w:eastAsia="方正小标宋简体" w:cs="方正小标宋简体"/>
          <w:bCs/>
          <w:kern w:val="0"/>
          <w:sz w:val="36"/>
          <w:szCs w:val="36"/>
        </w:rPr>
        <w:sectPr>
          <w:footerReference r:id="rId3" w:type="default"/>
          <w:pgSz w:w="11906" w:h="16838"/>
          <w:pgMar w:top="1440" w:right="1559" w:bottom="1440" w:left="1559" w:header="851" w:footer="992" w:gutter="0"/>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福建省全民健身运动会</w:t>
      </w:r>
    </w:p>
    <w:p>
      <w:pPr>
        <w:spacing w:line="5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老年人乒乓球交流活动注意事项</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一、抽签的方式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1、抽签：团体、单打的抽签均在25日组委会暨技术（抽签）会议上进行。</w:t>
      </w:r>
    </w:p>
    <w:p>
      <w:pPr>
        <w:numPr>
          <w:ilvl w:val="0"/>
          <w:numId w:val="4"/>
        </w:num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种子：</w:t>
      </w:r>
      <w:r>
        <w:rPr>
          <w:rFonts w:hint="eastAsia" w:ascii="仿宋_GB2312" w:hAnsi="仿宋_GB2312" w:eastAsia="仿宋_GB2312" w:cs="仿宋_GB2312"/>
          <w:color w:val="000000"/>
          <w:sz w:val="32"/>
          <w:szCs w:val="32"/>
        </w:rPr>
        <w:t>团体赛：按2022年福建省第十一届老年人体育健身大会乒乓球项目交流赛的成绩设定种子，前8名按蛇形排列进入各组，其余代表队随机抽入各小组。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男女单打：不设种子选手，采用随机抽签的形式进行分组。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二、检录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节团体赛赛前35分钟领队兼教练到检录处报到，领取排名表并进行填写排名表。赛前25分钟需将排名表交给检录区的裁判，赛前20分钟收集好所有上场运动员的球拍，在检录处进行检查。检查合格的球拍裁判员将其收入袋子统一管理带入球台。检查不合格的球拍需马上就行更换并在次交裁判员检查。赛前15分钟停止检录。停止检录后不再对运动员进行球拍检查，每场比赛结束后，赛前未检查的球拍由临场裁判收回球拍，本场比赛结束后交给分管裁判长检查，如发现球拍不符合规则规定的要求，则按0:3计分（0:11,0:11,0:11），若是3局2胜则按0:2计分（0:11,0:11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2、赛前10分钟全体参赛队员在检录处集中，请每节第一场团体比赛的全体运动员配合裁判员，按裁判员指定的位置站好队伍，统一入场。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项比赛的运动员可以按秩序册的时间提前15分钟到检录处报到，关注赛场赛事的进度，注意场上的广播，请在场地上候场，提前15分钟到检录处检录，以免误过比赛，检录时带好号码布，将球拍交给裁判检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三、场外指导</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场外指导席上必须是秩序册上团体名单中的领队兼教练、运动员。如若发现指导者不是秩序册上的领队兼教练、教练、运动员的，将罚出该指导者，该队伍不再允许有人替换罚出本场比赛的指导者。场外指导者尽量不穿白色上衣，注意场上形象，不穿拖鞋，不在场内抽烟等。</w:t>
      </w:r>
    </w:p>
    <w:p>
      <w:pPr>
        <w:numPr>
          <w:ilvl w:val="0"/>
          <w:numId w:val="5"/>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比赛办法补充说明：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团体比赛第一阶段分组循环、第二阶段各小组第1、2决出第1-8名。各小组第3、4决出第9--14名。男女单打第一阶段分组循环、第二阶段各小组第1、2决出第1--8名（小组3、4名不再进行第二阶段）。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四、球拍检查注意事项</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1、球拍两面无论是否有覆盖物，必须无光泽，且一面为黑</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色，另一面可以是除黑色外其它鲜艳的颜色。</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2、球拍的击球拍面必须有覆盖物，覆盖物必须完整地覆盖整个拍面，</w:t>
      </w:r>
      <w:r>
        <w:rPr>
          <w:rFonts w:hint="eastAsia" w:ascii="仿宋_GB2312" w:hAnsi="仿宋_GB2312" w:eastAsia="仿宋_GB2312" w:cs="仿宋_GB2312"/>
          <w:color w:val="000000"/>
          <w:kern w:val="24"/>
          <w:sz w:val="32"/>
          <w:szCs w:val="32"/>
        </w:rPr>
        <w:t>但不得超出或缩进底板边缘2毫米，覆盖物在球拍边缘处缺损不得超过2毫米、裂缝长度不得超过1厘米；</w:t>
      </w:r>
      <w:r>
        <w:rPr>
          <w:rFonts w:hint="eastAsia" w:ascii="仿宋_GB2312" w:hAnsi="仿宋_GB2312" w:eastAsia="仿宋_GB2312" w:cs="仿宋_GB2312"/>
          <w:sz w:val="32"/>
          <w:szCs w:val="32"/>
        </w:rPr>
        <w:t>拍面的中间部分不得有任何的破损。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3、球拍的覆盖物必须是国际乒联批准的型号，须附有国际乒联的标志ITTF标准和制造商的标志或商标，且运动员粘贴胶皮时必须使这些标志在击球拍面处清晰可见。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4、球拍的覆盖物不得经过任何物理的、化学的或其他处理。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五、发球</w:t>
      </w:r>
      <w:r>
        <w:rPr>
          <w:rFonts w:hint="eastAsia" w:ascii="仿宋_GB2312" w:hAnsi="仿宋_GB2312" w:eastAsia="仿宋_GB2312" w:cs="仿宋_GB2312"/>
          <w:sz w:val="32"/>
          <w:szCs w:val="32"/>
        </w:rPr>
        <w:t>（附乒乓球竞赛规则2.6之发球部分内容）</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1、发球开始时，球自然置于不持拍手的手掌上，手掌张开，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保持静止。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2、几乎垂直地向上抛起，球离开手掌之后上升高度不少于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16厘米。</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从发球开始，到球被击出，球要始终在比赛台面的水平</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面以上和发球员的端线意外。</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运动员发球时，有责任让裁判员判员确信他(她)的发球</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符合规则的要求，且裁判员或副裁判员均可判定发球不合法。对运动员不合法的发球将直接判失一分。</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如果裁判员或副裁判员对发球的合法性不确定，在一场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比赛中第一次出现时，可以中断比赛并警告发球方。但一场比赛只能警告一次。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6、本次交流赛暂不执行无遮挡发球。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六、申诉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1、运动员对有关裁判人员就事实问题所做的决定不得向裁判长提出申诉。</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2、运动员对裁判长就规则的解释或规程的问题所做的决定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不得向仲裁委员会提出申诉。</w:t>
      </w:r>
    </w:p>
    <w:p>
      <w:pPr>
        <w:numPr>
          <w:ilvl w:val="0"/>
          <w:numId w:val="6"/>
        </w:num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对裁判人员就解释规则或规程的问题所做的决定不服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时，可由运动员向裁判长提出申诉，裁判长的决定为最后决定。</w:t>
      </w:r>
    </w:p>
    <w:p>
      <w:pPr>
        <w:numPr>
          <w:ilvl w:val="0"/>
          <w:numId w:val="6"/>
        </w:num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对裁判长就未包括在规则或规程中的有关比赛管理问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题所做的决定不服时，可由教练向仲裁委员会提出申诉，该委员会做的决定为最后决定。</w:t>
      </w:r>
    </w:p>
    <w:p>
      <w:pPr>
        <w:numPr>
          <w:ilvl w:val="0"/>
          <w:numId w:val="6"/>
        </w:num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团体赛，若有申诉，只能由参赛队的领队兼教练向裁判</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长提出申诉。单打比赛，由运动员本人向裁判长提出申诉。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七、服装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运动员必须穿</w:t>
      </w:r>
      <w:r>
        <w:rPr>
          <w:rFonts w:hint="eastAsia" w:ascii="仿宋_GB2312" w:hAnsi="仿宋_GB2312" w:eastAsia="仿宋_GB2312" w:cs="仿宋_GB2312"/>
          <w:color w:val="000000"/>
          <w:kern w:val="24"/>
          <w:sz w:val="32"/>
          <w:szCs w:val="32"/>
        </w:rPr>
        <w:t>短袖或无袖运动衫、短裤或短裙、短袜和运动鞋参加比赛。</w:t>
      </w:r>
      <w:r>
        <w:rPr>
          <w:rFonts w:hint="eastAsia" w:ascii="仿宋_GB2312" w:hAnsi="仿宋_GB2312" w:eastAsia="仿宋_GB2312" w:cs="仿宋_GB2312"/>
          <w:sz w:val="32"/>
          <w:szCs w:val="32"/>
        </w:rPr>
        <w:t>且服装的主体颜色不能为白色。 团体赛所有上场运动员服装必须一致。</w:t>
      </w:r>
    </w:p>
    <w:p>
      <w:pPr>
        <w:widowControl/>
        <w:shd w:val="clear" w:color="auto" w:fill="FFFFFF"/>
        <w:spacing w:line="460" w:lineRule="exact"/>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rPr>
          <w:rFonts w:hint="eastAsia" w:ascii="方正小标宋简体" w:hAnsi="方正小标宋简体" w:eastAsia="方正小标宋简体" w:cs="方正小标宋简体"/>
          <w:bCs/>
          <w:kern w:val="0"/>
          <w:sz w:val="44"/>
          <w:szCs w:val="44"/>
        </w:rPr>
      </w:pPr>
    </w:p>
    <w:p>
      <w:pPr>
        <w:pStyle w:val="2"/>
        <w:ind w:firstLine="0"/>
        <w:rPr>
          <w:rFonts w:hint="eastAsia" w:ascii="方正小标宋简体" w:hAnsi="方正小标宋简体" w:eastAsia="方正小标宋简体" w:cs="方正小标宋简体"/>
          <w:bCs/>
          <w:kern w:val="0"/>
          <w:sz w:val="44"/>
          <w:szCs w:val="44"/>
        </w:rPr>
      </w:pPr>
    </w:p>
    <w:p>
      <w:pPr>
        <w:adjustRightInd w:val="0"/>
        <w:snapToGrid w:val="0"/>
        <w:spacing w:line="460" w:lineRule="exact"/>
        <w:jc w:val="center"/>
        <w:rPr>
          <w:rFonts w:hint="eastAsia" w:ascii="方正小标宋简体" w:hAnsi="方正小标宋简体" w:eastAsia="方正小标宋简体" w:cs="方正小标宋简体"/>
          <w:bCs/>
          <w:kern w:val="0"/>
          <w:sz w:val="36"/>
          <w:szCs w:val="36"/>
        </w:rPr>
      </w:pPr>
    </w:p>
    <w:p>
      <w:pPr>
        <w:adjustRightInd w:val="0"/>
        <w:snapToGrid w:val="0"/>
        <w:spacing w:line="460" w:lineRule="exact"/>
        <w:jc w:val="center"/>
        <w:rPr>
          <w:rFonts w:hint="eastAsia" w:ascii="方正小标宋简体" w:hAnsi="方正小标宋简体" w:eastAsia="方正小标宋简体" w:cs="方正小标宋简体"/>
          <w:bCs/>
          <w:kern w:val="0"/>
          <w:sz w:val="36"/>
          <w:szCs w:val="36"/>
        </w:rPr>
      </w:pPr>
    </w:p>
    <w:p>
      <w:pPr>
        <w:adjustRightInd w:val="0"/>
        <w:snapToGrid w:val="0"/>
        <w:spacing w:line="460" w:lineRule="exact"/>
        <w:jc w:val="center"/>
        <w:rPr>
          <w:rFonts w:hint="eastAsia" w:ascii="方正小标宋简体" w:hAnsi="方正小标宋简体" w:eastAsia="方正小标宋简体" w:cs="方正小标宋简体"/>
          <w:color w:val="000000"/>
          <w:spacing w:val="-2"/>
          <w:sz w:val="36"/>
          <w:szCs w:val="36"/>
        </w:rPr>
      </w:pPr>
      <w:r>
        <w:rPr>
          <w:rFonts w:hint="eastAsia" w:ascii="方正小标宋简体" w:hAnsi="方正小标宋简体" w:eastAsia="方正小标宋简体" w:cs="方正小标宋简体"/>
          <w:bCs/>
          <w:kern w:val="0"/>
          <w:sz w:val="36"/>
          <w:szCs w:val="36"/>
        </w:rPr>
        <w:t>福建省全民健身运动会老年人乒乓球交流活动</w:t>
      </w:r>
      <w:r>
        <w:rPr>
          <w:rFonts w:hint="eastAsia" w:ascii="方正小标宋简体" w:hAnsi="方正小标宋简体" w:eastAsia="方正小标宋简体" w:cs="方正小标宋简体"/>
          <w:color w:val="000000"/>
          <w:spacing w:val="-2"/>
          <w:sz w:val="36"/>
          <w:szCs w:val="36"/>
        </w:rPr>
        <w:t>报名表</w:t>
      </w:r>
    </w:p>
    <w:p>
      <w:pPr>
        <w:widowControl/>
        <w:shd w:val="clear" w:color="auto" w:fill="FFFFFF"/>
        <w:spacing w:line="460" w:lineRule="exact"/>
        <w:jc w:val="left"/>
        <w:rPr>
          <w:rFonts w:hint="eastAsia" w:ascii="仿宋_GB2312" w:hAnsi="仿宋_GB2312" w:eastAsia="仿宋_GB2312" w:cs="仿宋_GB2312"/>
          <w:spacing w:val="-2"/>
          <w:kern w:val="0"/>
          <w:sz w:val="32"/>
          <w:szCs w:val="32"/>
        </w:rPr>
      </w:pPr>
    </w:p>
    <w:p>
      <w:pPr>
        <w:widowControl/>
        <w:shd w:val="clear" w:color="auto" w:fill="FFFFFF"/>
        <w:spacing w:line="460" w:lineRule="exact"/>
        <w:jc w:val="left"/>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参加单位（盖章）：         </w:t>
      </w:r>
    </w:p>
    <w:p>
      <w:pPr>
        <w:widowControl/>
        <w:shd w:val="clear" w:color="auto" w:fill="FFFFFF"/>
        <w:spacing w:line="460" w:lineRule="exact"/>
        <w:jc w:val="left"/>
        <w:rPr>
          <w:rFonts w:hint="eastAsia" w:eastAsia="仿宋_GB2312"/>
        </w:rPr>
      </w:pPr>
      <w:r>
        <w:rPr>
          <w:rFonts w:hint="eastAsia" w:ascii="仿宋_GB2312" w:hAnsi="仿宋_GB2312" w:eastAsia="仿宋_GB2312" w:cs="仿宋_GB2312"/>
          <w:spacing w:val="-2"/>
          <w:kern w:val="0"/>
          <w:sz w:val="32"/>
          <w:szCs w:val="32"/>
        </w:rPr>
        <w:t>联系人：                         联系电话：</w:t>
      </w:r>
    </w:p>
    <w:p>
      <w:pPr>
        <w:adjustRightInd w:val="0"/>
        <w:snapToGrid w:val="0"/>
        <w:spacing w:line="460" w:lineRule="exact"/>
        <w:jc w:val="center"/>
        <w:rPr>
          <w:rFonts w:hint="eastAsia" w:ascii="华文中宋" w:hAnsi="华文中宋" w:eastAsia="华文中宋" w:cs="华文中宋"/>
          <w:color w:val="000000"/>
          <w:spacing w:val="-2"/>
          <w:sz w:val="44"/>
          <w:szCs w:val="44"/>
        </w:rPr>
      </w:pPr>
    </w:p>
    <w:tbl>
      <w:tblPr>
        <w:tblStyle w:val="7"/>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00"/>
        <w:gridCol w:w="1658"/>
        <w:gridCol w:w="956"/>
        <w:gridCol w:w="286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915" w:type="dxa"/>
            <w:noWrap w:val="0"/>
            <w:vAlign w:val="center"/>
          </w:tcPr>
          <w:p>
            <w:pPr>
              <w:pStyle w:val="4"/>
              <w:spacing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项目</w:t>
            </w:r>
          </w:p>
        </w:tc>
        <w:tc>
          <w:tcPr>
            <w:tcW w:w="1500" w:type="dxa"/>
            <w:noWrap w:val="0"/>
            <w:vAlign w:val="center"/>
          </w:tcPr>
          <w:p>
            <w:pPr>
              <w:pStyle w:val="4"/>
              <w:spacing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队内职务</w:t>
            </w:r>
          </w:p>
        </w:tc>
        <w:tc>
          <w:tcPr>
            <w:tcW w:w="1658" w:type="dxa"/>
            <w:noWrap w:val="0"/>
            <w:vAlign w:val="center"/>
          </w:tcPr>
          <w:p>
            <w:pPr>
              <w:pStyle w:val="4"/>
              <w:spacing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姓 名</w:t>
            </w:r>
          </w:p>
        </w:tc>
        <w:tc>
          <w:tcPr>
            <w:tcW w:w="956" w:type="dxa"/>
            <w:noWrap w:val="0"/>
            <w:vAlign w:val="center"/>
          </w:tcPr>
          <w:p>
            <w:pPr>
              <w:pStyle w:val="4"/>
              <w:spacing w:line="560" w:lineRule="exact"/>
              <w:jc w:val="center"/>
              <w:rPr>
                <w:rFonts w:hint="eastAsia" w:ascii="黑体" w:hAnsi="黑体" w:eastAsia="黑体" w:cs="黑体"/>
                <w:bCs/>
                <w:spacing w:val="-20"/>
                <w:kern w:val="2"/>
                <w:sz w:val="32"/>
                <w:szCs w:val="32"/>
              </w:rPr>
            </w:pPr>
            <w:r>
              <w:rPr>
                <w:rFonts w:hint="eastAsia" w:ascii="黑体" w:hAnsi="黑体" w:eastAsia="黑体" w:cs="黑体"/>
                <w:bCs/>
                <w:spacing w:val="-20"/>
                <w:kern w:val="2"/>
                <w:sz w:val="32"/>
                <w:szCs w:val="32"/>
              </w:rPr>
              <w:t>性别</w:t>
            </w:r>
          </w:p>
        </w:tc>
        <w:tc>
          <w:tcPr>
            <w:tcW w:w="2865" w:type="dxa"/>
            <w:noWrap w:val="0"/>
            <w:vAlign w:val="center"/>
          </w:tcPr>
          <w:p>
            <w:pPr>
              <w:pStyle w:val="4"/>
              <w:spacing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身份证号码</w:t>
            </w:r>
          </w:p>
        </w:tc>
        <w:tc>
          <w:tcPr>
            <w:tcW w:w="1948" w:type="dxa"/>
            <w:noWrap w:val="0"/>
            <w:vAlign w:val="center"/>
          </w:tcPr>
          <w:p>
            <w:pPr>
              <w:pStyle w:val="4"/>
              <w:spacing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15" w:type="dxa"/>
            <w:noWrap w:val="0"/>
            <w:vAlign w:val="center"/>
          </w:tcPr>
          <w:p>
            <w:pPr>
              <w:pStyle w:val="4"/>
              <w:spacing w:line="560" w:lineRule="exact"/>
              <w:jc w:val="center"/>
              <w:rPr>
                <w:rFonts w:ascii="Times New Roman" w:hAnsi="仿宋" w:eastAsia="仿宋"/>
                <w:bCs/>
                <w:kern w:val="2"/>
                <w:sz w:val="32"/>
                <w:szCs w:val="32"/>
              </w:rPr>
            </w:pPr>
          </w:p>
        </w:tc>
        <w:tc>
          <w:tcPr>
            <w:tcW w:w="1500" w:type="dxa"/>
            <w:noWrap w:val="0"/>
            <w:vAlign w:val="center"/>
          </w:tcPr>
          <w:p>
            <w:pPr>
              <w:pStyle w:val="4"/>
              <w:spacing w:line="560" w:lineRule="exact"/>
              <w:jc w:val="center"/>
              <w:rPr>
                <w:rFonts w:hint="eastAsia" w:ascii="Times New Roman" w:hAnsi="Times New Roman" w:eastAsia="仿宋"/>
                <w:bCs/>
                <w:kern w:val="2"/>
                <w:sz w:val="24"/>
                <w:szCs w:val="24"/>
              </w:rPr>
            </w:pPr>
            <w:r>
              <w:rPr>
                <w:rFonts w:ascii="Times New Roman" w:hAnsi="仿宋" w:eastAsia="仿宋"/>
                <w:bCs/>
                <w:kern w:val="2"/>
                <w:sz w:val="28"/>
                <w:szCs w:val="28"/>
              </w:rPr>
              <w:t>领队</w:t>
            </w:r>
            <w:r>
              <w:rPr>
                <w:rFonts w:hint="eastAsia" w:ascii="Times New Roman" w:hAnsi="仿宋" w:eastAsia="仿宋"/>
                <w:bCs/>
                <w:kern w:val="2"/>
                <w:sz w:val="28"/>
                <w:szCs w:val="28"/>
              </w:rPr>
              <w:t>教练</w:t>
            </w: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Ansi="宋体" w:cs="宋体"/>
                <w:bCs/>
                <w:kern w:val="2"/>
                <w:sz w:val="28"/>
                <w:szCs w:val="28"/>
              </w:rPr>
            </w:pPr>
          </w:p>
        </w:tc>
        <w:tc>
          <w:tcPr>
            <w:tcW w:w="1948" w:type="dxa"/>
            <w:noWrap w:val="0"/>
            <w:vAlign w:val="center"/>
          </w:tcPr>
          <w:p>
            <w:pPr>
              <w:pStyle w:val="4"/>
              <w:spacing w:line="560" w:lineRule="exact"/>
              <w:jc w:val="center"/>
              <w:rPr>
                <w:rFonts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restart"/>
            <w:noWrap w:val="0"/>
            <w:vAlign w:val="center"/>
          </w:tcPr>
          <w:p>
            <w:pPr>
              <w:pStyle w:val="4"/>
              <w:spacing w:line="560" w:lineRule="exact"/>
              <w:jc w:val="center"/>
              <w:rPr>
                <w:rFonts w:hint="eastAsia" w:ascii="Times New Roman" w:hAnsi="仿宋" w:eastAsia="仿宋"/>
                <w:bCs/>
                <w:kern w:val="2"/>
                <w:sz w:val="32"/>
                <w:szCs w:val="32"/>
              </w:rPr>
            </w:pPr>
            <w:r>
              <w:rPr>
                <w:rFonts w:hint="eastAsia" w:ascii="Times New Roman" w:hAnsi="仿宋" w:eastAsia="仿宋"/>
                <w:bCs/>
                <w:kern w:val="2"/>
                <w:sz w:val="32"/>
                <w:szCs w:val="32"/>
              </w:rPr>
              <w:t>混合团体</w:t>
            </w:r>
          </w:p>
        </w:tc>
        <w:tc>
          <w:tcPr>
            <w:tcW w:w="1500" w:type="dxa"/>
            <w:vMerge w:val="restart"/>
            <w:noWrap w:val="0"/>
            <w:vAlign w:val="center"/>
          </w:tcPr>
          <w:p>
            <w:pPr>
              <w:pStyle w:val="4"/>
              <w:spacing w:line="560" w:lineRule="exact"/>
              <w:jc w:val="center"/>
              <w:rPr>
                <w:rFonts w:ascii="Times New Roman" w:hAnsi="Times New Roman" w:eastAsia="仿宋"/>
                <w:bCs/>
                <w:kern w:val="2"/>
                <w:sz w:val="32"/>
                <w:szCs w:val="32"/>
              </w:rPr>
            </w:pPr>
            <w:r>
              <w:rPr>
                <w:rFonts w:hint="eastAsia" w:ascii="Times New Roman" w:hAnsi="仿宋" w:eastAsia="仿宋"/>
                <w:bCs/>
                <w:kern w:val="2"/>
                <w:sz w:val="32"/>
                <w:szCs w:val="32"/>
              </w:rPr>
              <w:t>男</w:t>
            </w:r>
            <w:r>
              <w:rPr>
                <w:rFonts w:ascii="Times New Roman" w:hAnsi="仿宋" w:eastAsia="仿宋"/>
                <w:bCs/>
                <w:kern w:val="2"/>
                <w:sz w:val="32"/>
                <w:szCs w:val="32"/>
              </w:rPr>
              <w:t>队员</w:t>
            </w: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hint="eastAsia" w:ascii="Times New Roman" w:hAnsi="Times New Roman" w:eastAsia="仿宋"/>
                <w:bCs/>
                <w:kern w:val="2"/>
                <w:sz w:val="32"/>
                <w:szCs w:val="32"/>
              </w:rPr>
            </w:pPr>
          </w:p>
        </w:tc>
        <w:tc>
          <w:tcPr>
            <w:tcW w:w="1500" w:type="dxa"/>
            <w:vMerge w:val="restart"/>
            <w:noWrap w:val="0"/>
            <w:vAlign w:val="center"/>
          </w:tcPr>
          <w:p>
            <w:pPr>
              <w:pStyle w:val="4"/>
              <w:spacing w:line="560" w:lineRule="exact"/>
              <w:jc w:val="center"/>
              <w:rPr>
                <w:rFonts w:ascii="Times New Roman" w:hAnsi="Times New Roman" w:eastAsia="仿宋"/>
                <w:bCs/>
                <w:kern w:val="2"/>
                <w:sz w:val="32"/>
                <w:szCs w:val="32"/>
              </w:rPr>
            </w:pPr>
            <w:r>
              <w:rPr>
                <w:rFonts w:hint="eastAsia" w:ascii="Times New Roman" w:hAnsi="Times New Roman" w:eastAsia="仿宋"/>
                <w:bCs/>
                <w:kern w:val="2"/>
                <w:sz w:val="32"/>
                <w:szCs w:val="32"/>
              </w:rPr>
              <w:t>女队员</w:t>
            </w: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5"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500" w:type="dxa"/>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5" w:type="dxa"/>
            <w:gridSpan w:val="2"/>
            <w:vMerge w:val="restart"/>
            <w:noWrap w:val="0"/>
            <w:vAlign w:val="center"/>
          </w:tcPr>
          <w:p>
            <w:pPr>
              <w:pStyle w:val="4"/>
              <w:spacing w:line="560" w:lineRule="exact"/>
              <w:jc w:val="center"/>
              <w:rPr>
                <w:rFonts w:ascii="Times New Roman" w:hAnsi="Times New Roman" w:eastAsia="仿宋"/>
                <w:bCs/>
                <w:kern w:val="2"/>
                <w:sz w:val="32"/>
                <w:szCs w:val="32"/>
              </w:rPr>
            </w:pPr>
            <w:r>
              <w:rPr>
                <w:rFonts w:hint="eastAsia" w:ascii="Times New Roman" w:hAnsi="Times New Roman" w:eastAsia="仿宋"/>
                <w:bCs/>
                <w:kern w:val="2"/>
                <w:sz w:val="32"/>
                <w:szCs w:val="32"/>
              </w:rPr>
              <w:t>男子单打</w:t>
            </w: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5" w:type="dxa"/>
            <w:gridSpan w:val="2"/>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5" w:type="dxa"/>
            <w:gridSpan w:val="2"/>
            <w:vMerge w:val="restart"/>
            <w:noWrap w:val="0"/>
            <w:vAlign w:val="center"/>
          </w:tcPr>
          <w:p>
            <w:pPr>
              <w:pStyle w:val="4"/>
              <w:spacing w:line="560" w:lineRule="exact"/>
              <w:jc w:val="center"/>
              <w:rPr>
                <w:rFonts w:ascii="Times New Roman" w:hAnsi="Times New Roman" w:eastAsia="仿宋"/>
                <w:bCs/>
                <w:kern w:val="2"/>
                <w:sz w:val="32"/>
                <w:szCs w:val="32"/>
              </w:rPr>
            </w:pPr>
            <w:r>
              <w:rPr>
                <w:rFonts w:hint="eastAsia" w:ascii="Times New Roman" w:hAnsi="Times New Roman" w:eastAsia="仿宋"/>
                <w:bCs/>
                <w:kern w:val="2"/>
                <w:sz w:val="32"/>
                <w:szCs w:val="32"/>
              </w:rPr>
              <w:t>女子单打</w:t>
            </w: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2415" w:type="dxa"/>
            <w:gridSpan w:val="2"/>
            <w:vMerge w:val="continue"/>
            <w:noWrap w:val="0"/>
            <w:vAlign w:val="center"/>
          </w:tcPr>
          <w:p>
            <w:pPr>
              <w:pStyle w:val="4"/>
              <w:spacing w:line="560" w:lineRule="exact"/>
              <w:jc w:val="center"/>
              <w:rPr>
                <w:rFonts w:ascii="Times New Roman" w:hAnsi="Times New Roman" w:eastAsia="仿宋"/>
                <w:bCs/>
                <w:kern w:val="2"/>
                <w:sz w:val="32"/>
                <w:szCs w:val="32"/>
              </w:rPr>
            </w:pPr>
          </w:p>
        </w:tc>
        <w:tc>
          <w:tcPr>
            <w:tcW w:w="1658" w:type="dxa"/>
            <w:noWrap w:val="0"/>
            <w:vAlign w:val="center"/>
          </w:tcPr>
          <w:p>
            <w:pPr>
              <w:pStyle w:val="4"/>
              <w:spacing w:line="560" w:lineRule="exact"/>
              <w:jc w:val="center"/>
              <w:rPr>
                <w:rFonts w:hint="eastAsia" w:hAnsi="宋体" w:cs="宋体"/>
                <w:bCs/>
                <w:kern w:val="2"/>
                <w:sz w:val="28"/>
                <w:szCs w:val="28"/>
              </w:rPr>
            </w:pPr>
          </w:p>
        </w:tc>
        <w:tc>
          <w:tcPr>
            <w:tcW w:w="956" w:type="dxa"/>
            <w:noWrap w:val="0"/>
            <w:vAlign w:val="center"/>
          </w:tcPr>
          <w:p>
            <w:pPr>
              <w:pStyle w:val="4"/>
              <w:spacing w:line="560" w:lineRule="exact"/>
              <w:jc w:val="center"/>
              <w:rPr>
                <w:rFonts w:hint="eastAsia" w:hAnsi="宋体" w:cs="宋体"/>
                <w:bCs/>
                <w:kern w:val="2"/>
                <w:sz w:val="28"/>
                <w:szCs w:val="28"/>
              </w:rPr>
            </w:pPr>
          </w:p>
        </w:tc>
        <w:tc>
          <w:tcPr>
            <w:tcW w:w="2865" w:type="dxa"/>
            <w:noWrap w:val="0"/>
            <w:vAlign w:val="center"/>
          </w:tcPr>
          <w:p>
            <w:pPr>
              <w:pStyle w:val="4"/>
              <w:spacing w:line="560" w:lineRule="exact"/>
              <w:jc w:val="center"/>
              <w:rPr>
                <w:rFonts w:hint="eastAsia" w:hAnsi="宋体" w:cs="宋体"/>
                <w:bCs/>
                <w:kern w:val="2"/>
                <w:sz w:val="28"/>
                <w:szCs w:val="28"/>
              </w:rPr>
            </w:pPr>
          </w:p>
        </w:tc>
        <w:tc>
          <w:tcPr>
            <w:tcW w:w="1948" w:type="dxa"/>
            <w:noWrap w:val="0"/>
            <w:vAlign w:val="center"/>
          </w:tcPr>
          <w:p>
            <w:pPr>
              <w:pStyle w:val="4"/>
              <w:spacing w:line="560" w:lineRule="exact"/>
              <w:jc w:val="center"/>
              <w:rPr>
                <w:rFonts w:hint="eastAsia" w:hAnsi="宋体" w:cs="宋体"/>
                <w:bCs/>
                <w:kern w:val="2"/>
                <w:sz w:val="28"/>
                <w:szCs w:val="28"/>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备注：每人只能报一项参赛，即报团体的队员不能报单打，报单打的队员不能报团体。</w:t>
      </w:r>
    </w:p>
    <w:p>
      <w:pPr>
        <w:pStyle w:val="4"/>
        <w:spacing w:line="560" w:lineRule="exact"/>
        <w:ind w:right="640"/>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                                                      </w:t>
      </w:r>
    </w:p>
    <w:p>
      <w:pPr>
        <w:widowControl/>
        <w:shd w:val="clear" w:color="auto" w:fill="FFFFFF"/>
        <w:spacing w:line="560" w:lineRule="exact"/>
        <w:rPr>
          <w:rFonts w:hint="eastAsia" w:ascii="方正小标宋简体" w:hAnsi="方正小标宋简体" w:eastAsia="方正小标宋简体" w:cs="方正小标宋简体"/>
          <w:kern w:val="0"/>
          <w:sz w:val="44"/>
          <w:szCs w:val="44"/>
        </w:rPr>
        <w:sectPr>
          <w:pgSz w:w="11906" w:h="16838"/>
          <w:pgMar w:top="1440" w:right="1576" w:bottom="1440" w:left="1576" w:header="851" w:footer="992" w:gutter="0"/>
          <w:cols w:space="720" w:num="1"/>
          <w:docGrid w:type="lines" w:linePitch="312" w:charSpace="0"/>
        </w:sectPr>
      </w:pPr>
    </w:p>
    <w:p>
      <w:pPr>
        <w:widowControl/>
        <w:shd w:val="clear" w:color="auto" w:fill="FFFFFF"/>
        <w:spacing w:line="560" w:lineRule="exact"/>
        <w:jc w:val="center"/>
        <w:rPr>
          <w:rFonts w:hint="eastAsia" w:ascii="方正小标宋简体" w:hAnsi="方正小标宋简体" w:eastAsia="方正小标宋简体" w:cs="方正小标宋简体"/>
          <w:kern w:val="0"/>
          <w:sz w:val="44"/>
          <w:szCs w:val="44"/>
        </w:rPr>
      </w:pPr>
    </w:p>
    <w:p>
      <w:pPr>
        <w:widowControl/>
        <w:shd w:val="clear" w:color="auto" w:fill="FFFFFF"/>
        <w:spacing w:line="560" w:lineRule="exact"/>
        <w:jc w:val="center"/>
        <w:rPr>
          <w:rFonts w:hint="eastAsia" w:ascii="方正小标宋简体" w:hAnsi="方正小标宋简体" w:eastAsia="方正小标宋简体" w:cs="方正小标宋简体"/>
          <w:kern w:val="0"/>
          <w:szCs w:val="21"/>
        </w:rPr>
      </w:pPr>
      <w:r>
        <w:rPr>
          <w:rFonts w:hint="eastAsia" w:ascii="方正小标宋简体" w:hAnsi="方正小标宋简体" w:eastAsia="方正小标宋简体" w:cs="方正小标宋简体"/>
          <w:kern w:val="0"/>
          <w:sz w:val="44"/>
          <w:szCs w:val="44"/>
        </w:rPr>
        <w:t>自愿参加交流比赛活动责任书</w:t>
      </w:r>
    </w:p>
    <w:p>
      <w:pPr>
        <w:widowControl/>
        <w:shd w:val="clear" w:color="auto" w:fill="FFFFFF"/>
        <w:spacing w:line="560" w:lineRule="exact"/>
        <w:jc w:val="center"/>
        <w:rPr>
          <w:rFonts w:hint="eastAsia" w:ascii="宋体" w:hAnsi="宋体" w:cs="宋体"/>
          <w:kern w:val="0"/>
          <w:szCs w:val="21"/>
        </w:rPr>
      </w:pPr>
    </w:p>
    <w:p>
      <w:pPr>
        <w:widowControl/>
        <w:shd w:val="clear" w:color="auto" w:fill="FFFFFF"/>
        <w:spacing w:line="560" w:lineRule="exact"/>
        <w:ind w:firstLine="640"/>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我自愿报名参加2024年福建省全民健身运动会老年人乒乓球交流活动并签署本责任书。对以下内容，我已认真阅读、全面理解且予以确认并承担相应的法律责任：</w:t>
      </w:r>
    </w:p>
    <w:p>
      <w:pPr>
        <w:widowControl/>
        <w:shd w:val="clear" w:color="auto" w:fill="FFFFFF"/>
        <w:spacing w:line="560" w:lineRule="exact"/>
        <w:ind w:firstLine="640"/>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一、我愿意遵守本次大会的所有规则规定；如果本人在参赛过程中发现或注意到任何风险和潜在风险，本人将立刻终止参赛或报告大会交流组委会。</w:t>
      </w:r>
    </w:p>
    <w:p>
      <w:pPr>
        <w:widowControl/>
        <w:shd w:val="clear" w:color="auto" w:fill="FFFFFF"/>
        <w:spacing w:line="560" w:lineRule="exact"/>
        <w:ind w:firstLine="640"/>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二、我充分了解本次大会期间的训练或交流有潜在的危险，以及可能由此而导致的受伤或事故，我会竭尽所能，以对自己安全负责的态度参加交流比赛活动。</w:t>
      </w:r>
    </w:p>
    <w:p>
      <w:pPr>
        <w:widowControl/>
        <w:shd w:val="clear" w:color="auto" w:fill="FFFFFF"/>
        <w:spacing w:line="560" w:lineRule="exact"/>
        <w:ind w:firstLine="640"/>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比赛活动。</w:t>
      </w:r>
    </w:p>
    <w:p>
      <w:pPr>
        <w:widowControl/>
        <w:shd w:val="clear" w:color="auto" w:fill="FFFFFF"/>
        <w:spacing w:line="560" w:lineRule="exact"/>
        <w:ind w:firstLine="640"/>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四、我同意接受主办方在交流比赛活动期间提供的现场急救性质的医务治疗，但在医院救治等发生的相关费用由本人负担。</w:t>
      </w:r>
    </w:p>
    <w:p>
      <w:pPr>
        <w:widowControl/>
        <w:shd w:val="clear" w:color="auto" w:fill="FFFFFF"/>
        <w:spacing w:line="560" w:lineRule="exact"/>
        <w:jc w:val="left"/>
        <w:rPr>
          <w:rFonts w:hint="eastAsia" w:ascii="仿宋_GB2312" w:hAnsi="仿宋_GB2312" w:eastAsia="仿宋_GB2312" w:cs="仿宋_GB2312"/>
          <w:kern w:val="0"/>
          <w:sz w:val="32"/>
          <w:szCs w:val="32"/>
        </w:rPr>
      </w:pPr>
    </w:p>
    <w:p>
      <w:pPr>
        <w:widowControl/>
        <w:shd w:val="clear" w:color="auto" w:fill="FFFFFF"/>
        <w:spacing w:line="600" w:lineRule="exact"/>
        <w:ind w:firstLine="64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32"/>
          <w:szCs w:val="32"/>
        </w:rPr>
        <w:t>本人签名：                        家属签名：</w:t>
      </w:r>
    </w:p>
    <w:p>
      <w:pPr>
        <w:widowControl/>
        <w:shd w:val="clear" w:color="auto" w:fill="FFFFFF"/>
        <w:spacing w:line="600" w:lineRule="exact"/>
        <w:ind w:right="800" w:firstLine="3520"/>
        <w:jc w:val="right"/>
        <w:rPr>
          <w:rFonts w:hint="eastAsia" w:ascii="方正小标宋简体" w:hAnsi="方正小标宋简体" w:eastAsia="方正小标宋简体" w:cs="方正小标宋简体"/>
          <w:spacing w:val="-2"/>
          <w:kern w:val="0"/>
          <w:sz w:val="44"/>
          <w:szCs w:val="44"/>
        </w:rPr>
      </w:pPr>
      <w:r>
        <w:rPr>
          <w:rFonts w:hint="eastAsia" w:ascii="仿宋_GB2312" w:hAnsi="仿宋_GB2312" w:eastAsia="仿宋_GB2312" w:cs="仿宋_GB2312"/>
          <w:kern w:val="0"/>
          <w:sz w:val="32"/>
          <w:szCs w:val="32"/>
        </w:rPr>
        <w:t>2024年  月  日</w:t>
      </w:r>
    </w:p>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30"/>
                              <w:szCs w:val="30"/>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5"/>
                      <w:rPr>
                        <w:sz w:val="30"/>
                        <w:szCs w:val="3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grouping="f" rotation="f" text="f" aspectratio="f"/>
              <v:textbox inset="0mm,0mm,0mm,0mm" style="mso-fit-shape-to-text:t;">
                <w:txbxContent>
                  <w:p>
                    <w:pPr>
                      <w:rPr>
                        <w:rFonts w:asci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AF697"/>
    <w:multiLevelType w:val="singleLevel"/>
    <w:tmpl w:val="A72AF697"/>
    <w:lvl w:ilvl="0" w:tentative="0">
      <w:start w:val="13"/>
      <w:numFmt w:val="chineseCounting"/>
      <w:suff w:val="nothing"/>
      <w:lvlText w:val="%1、"/>
      <w:lvlJc w:val="left"/>
      <w:rPr>
        <w:rFonts w:hint="eastAsia"/>
      </w:rPr>
    </w:lvl>
  </w:abstractNum>
  <w:abstractNum w:abstractNumId="1">
    <w:nsid w:val="B96186B5"/>
    <w:multiLevelType w:val="singleLevel"/>
    <w:tmpl w:val="B96186B5"/>
    <w:lvl w:ilvl="0" w:tentative="0">
      <w:start w:val="4"/>
      <w:numFmt w:val="chineseCounting"/>
      <w:suff w:val="nothing"/>
      <w:lvlText w:val="%1、"/>
      <w:lvlJc w:val="left"/>
      <w:rPr>
        <w:rFonts w:hint="eastAsia"/>
      </w:rPr>
    </w:lvl>
  </w:abstractNum>
  <w:abstractNum w:abstractNumId="2">
    <w:nsid w:val="CDA9D763"/>
    <w:multiLevelType w:val="singleLevel"/>
    <w:tmpl w:val="CDA9D763"/>
    <w:lvl w:ilvl="0" w:tentative="0">
      <w:start w:val="3"/>
      <w:numFmt w:val="decimal"/>
      <w:suff w:val="nothing"/>
      <w:lvlText w:val="%1、"/>
      <w:lvlJc w:val="left"/>
    </w:lvl>
  </w:abstractNum>
  <w:abstractNum w:abstractNumId="3">
    <w:nsid w:val="F6E762C1"/>
    <w:multiLevelType w:val="singleLevel"/>
    <w:tmpl w:val="F6E762C1"/>
    <w:lvl w:ilvl="0" w:tentative="0">
      <w:start w:val="2"/>
      <w:numFmt w:val="decimal"/>
      <w:suff w:val="nothing"/>
      <w:lvlText w:val="%1、"/>
      <w:lvlJc w:val="left"/>
    </w:lvl>
  </w:abstractNum>
  <w:abstractNum w:abstractNumId="4">
    <w:nsid w:val="5243550D"/>
    <w:multiLevelType w:val="singleLevel"/>
    <w:tmpl w:val="5243550D"/>
    <w:lvl w:ilvl="0" w:tentative="0">
      <w:start w:val="1"/>
      <w:numFmt w:val="chineseCounting"/>
      <w:suff w:val="nothing"/>
      <w:lvlText w:val="（%1）"/>
      <w:lvlJc w:val="left"/>
      <w:pPr>
        <w:ind w:left="552" w:firstLine="0"/>
      </w:pPr>
      <w:rPr>
        <w:rFonts w:hint="eastAsia"/>
      </w:rPr>
    </w:lvl>
  </w:abstractNum>
  <w:abstractNum w:abstractNumId="5">
    <w:nsid w:val="68D4EF86"/>
    <w:multiLevelType w:val="singleLevel"/>
    <w:tmpl w:val="68D4EF86"/>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689E"/>
    <w:rsid w:val="2311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rPr>
      <w:sz w:val="28"/>
    </w:rPr>
  </w:style>
  <w:style w:type="paragraph" w:customStyle="1" w:styleId="3">
    <w:name w:val="BodyTextIndent"/>
    <w:basedOn w:val="1"/>
    <w:next w:val="1"/>
    <w:qFormat/>
    <w:uiPriority w:val="0"/>
    <w:pPr>
      <w:spacing w:line="240" w:lineRule="auto"/>
      <w:ind w:firstLine="420"/>
      <w:jc w:val="both"/>
    </w:pPr>
    <w:rPr>
      <w:rFonts w:ascii="Times New Roman" w:hAnsi="Times New Roman" w:eastAsia="仿宋_GB2312"/>
      <w:kern w:val="2"/>
      <w:sz w:val="28"/>
      <w:szCs w:val="24"/>
      <w:lang w:val="en-US" w:eastAsia="zh-CN" w:bidi="ar-SA"/>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2"/>
    <w:basedOn w:val="1"/>
    <w:next w:val="1"/>
    <w:qFormat/>
    <w:uiPriority w:val="99"/>
    <w:pPr>
      <w:widowControl/>
      <w:snapToGrid w:val="0"/>
      <w:spacing w:line="520" w:lineRule="exact"/>
      <w:ind w:firstLine="200" w:firstLineChars="200"/>
      <w:outlineLvl w:val="3"/>
    </w:pPr>
    <w:rPr>
      <w:rFonts w:asci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2024-04-29T09:12:00Z</dcterms:created>
  <dc:creator>lenovo</dc:creator>
  <cp:lastModifiedBy>lenovo</cp:lastModifiedBy>
  <dcterms:modified xsi:type="dcterms:W3CDTF">2024-04-29T09:12:50Z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77412C864E9A40A68BE440B207AF4DF0</vt:lpwstr>
  </property>
</Properties>
</file>