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漳州卫生职业学院2022-2023学年度</w:t>
      </w:r>
    </w:p>
    <w:p>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信息公开报告</w:t>
      </w:r>
      <w:bookmarkStart w:id="0" w:name="_GoBack"/>
      <w:bookmarkEnd w:id="0"/>
    </w:p>
    <w:p>
      <w:pPr>
        <w:adjustRightInd w:val="0"/>
        <w:snapToGrid w:val="0"/>
        <w:spacing w:line="560" w:lineRule="exact"/>
        <w:ind w:firstLine="640" w:firstLineChars="200"/>
        <w:rPr>
          <w:rFonts w:ascii="仿宋_GB2312" w:hAnsi="微软雅黑" w:eastAsia="仿宋_GB2312" w:cs="仿宋_GB2312"/>
          <w:color w:val="000000"/>
          <w:kern w:val="0"/>
          <w:sz w:val="32"/>
          <w:szCs w:val="32"/>
        </w:rPr>
      </w:pPr>
    </w:p>
    <w:p>
      <w:pPr>
        <w:adjustRightInd w:val="0"/>
        <w:snapToGrid w:val="0"/>
        <w:spacing w:line="560" w:lineRule="exact"/>
        <w:ind w:firstLine="640" w:firstLineChars="200"/>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根据《教育部办公厅关于做好2023年高校信息公开年度报告工作的通知》的要求，我校将2022-2023学年度信息公开工作执行情况汇编成本报告。全文包括概述、主动公开情况、依申请公开和不予公开情况、信息公开评议情况、存在的问题及对策、清单事项公开情况等七个部分。本年度报告中所列数据的统计期限从2022年9月1日到2023年8月31日止。</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一、概述</w:t>
      </w:r>
    </w:p>
    <w:p>
      <w:pPr>
        <w:adjustRightInd w:val="0"/>
        <w:snapToGrid w:val="0"/>
        <w:spacing w:line="560" w:lineRule="exact"/>
        <w:ind w:firstLine="640" w:firstLineChars="200"/>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2022-2023学年，信息公开工作在学校党委、行政的领导下和全校师生员工的共同努力下，形成了党政领导齐抓共管、各职能部门具体实施、纪委监督检查和工会督促检查、广大教职工积极参与的良好格局。学校将信息公开作为完善内部治理、接受社会监督的重要内容。把信息公开与学校重点工作深度融合，持续细化主动公开范围和事项，加大招生、教学、基建等重点工作的信息公开力度，及时公开学校招生计划、各类招考办法、考核程序和录取结果等信息，主动公开财务预算、财务决算信息。按照《漳州卫生职业学院校园网信息发布管理办法》，规范新闻信息发布程序，同时落实信息发布责任人，落实专人按照规定上报学校信息到教育厅的信息平台和信息简报。通过对外招生展览宣传、承办省市重大活动、组织参观交流等大型活动宣传，校务公开栏、学校广播、电子宣传栏、微信公众号、学校门户网站、二级部门网页等媒介，省市电视台、报刊、网站等新闻媒体，教职工大会、各级干部会议、学生代表座谈会、教师表彰大会、学生表彰大会等会议形式，公开学校基本情况、招生考试、财务收费、资产、人事师资、教学质量、学生管理服务和对外交流合作等信息。</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二、主动公开情况</w:t>
      </w:r>
    </w:p>
    <w:p>
      <w:pPr>
        <w:adjustRightInd w:val="0"/>
        <w:snapToGrid w:val="0"/>
        <w:spacing w:line="560" w:lineRule="exact"/>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（一） 主动公开信息的方式、途径和数量</w:t>
      </w:r>
    </w:p>
    <w:p>
      <w:pPr>
        <w:adjustRightInd w:val="0"/>
        <w:snapToGrid w:val="0"/>
        <w:spacing w:line="560" w:lineRule="exact"/>
        <w:ind w:firstLine="643" w:firstLineChars="200"/>
        <w:rPr>
          <w:rFonts w:ascii="仿宋_GB2312" w:hAnsi="Times New Roman" w:eastAsia="仿宋_GB2312"/>
          <w:b/>
          <w:sz w:val="32"/>
          <w:szCs w:val="32"/>
        </w:rPr>
      </w:pPr>
      <w:r>
        <w:rPr>
          <w:rFonts w:hint="eastAsia" w:ascii="仿宋_GB2312" w:hAnsi="Times New Roman" w:eastAsia="仿宋_GB2312"/>
          <w:b/>
          <w:sz w:val="32"/>
          <w:szCs w:val="32"/>
        </w:rPr>
        <w:t>1.充分利用媒体平台助力信息公开</w:t>
      </w:r>
    </w:p>
    <w:p>
      <w:pPr>
        <w:pStyle w:val="4"/>
        <w:widowControl/>
        <w:adjustRightInd w:val="0"/>
        <w:snapToGri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学校持续推进官方网站和微信公众号建设，坚持每日更新信息内容，及时向教职工以及社会大众传递学校工作动态，信息公开准确、高效。学校官网本年度公开发布信息1075条，其中焦点要闻286条，各类公告、公开等信息218条。官方微信推送信息391条，在国家级及省、市媒体发信息180篇，拓宽了信息公开渠道。</w:t>
      </w:r>
    </w:p>
    <w:p>
      <w:pPr>
        <w:adjustRightInd w:val="0"/>
        <w:snapToGrid w:val="0"/>
        <w:spacing w:line="560" w:lineRule="exact"/>
        <w:ind w:firstLine="643" w:firstLineChars="200"/>
        <w:rPr>
          <w:rFonts w:ascii="仿宋_GB2312" w:hAnsi="Times New Roman" w:eastAsia="仿宋_GB2312"/>
          <w:b/>
          <w:sz w:val="32"/>
          <w:szCs w:val="32"/>
        </w:rPr>
      </w:pPr>
      <w:r>
        <w:rPr>
          <w:rFonts w:hint="eastAsia" w:ascii="仿宋_GB2312" w:hAnsi="Times New Roman" w:eastAsia="仿宋_GB2312"/>
          <w:b/>
          <w:sz w:val="32"/>
          <w:szCs w:val="32"/>
        </w:rPr>
        <w:t>2.科学使用OA平台进行信息公开</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学校通过办公自动化系统（OA系统），及时发布通知、通报、会议纪要等正式文件对重要事项进行公开，并通过发布公告对评优评先、职称评聘、项目申报等进行公示以及公开活动、会议信息。本年度，学校通过OA平台发布公文346 份、公告318条。</w:t>
      </w:r>
    </w:p>
    <w:p>
      <w:pPr>
        <w:adjustRightInd w:val="0"/>
        <w:snapToGrid w:val="0"/>
        <w:spacing w:line="560" w:lineRule="exact"/>
        <w:ind w:firstLine="643" w:firstLineChars="200"/>
        <w:rPr>
          <w:rFonts w:ascii="仿宋_GB2312" w:hAnsi="Times New Roman" w:eastAsia="仿宋_GB2312"/>
          <w:b/>
          <w:sz w:val="32"/>
          <w:szCs w:val="32"/>
        </w:rPr>
      </w:pPr>
      <w:r>
        <w:rPr>
          <w:rFonts w:hint="eastAsia" w:ascii="仿宋_GB2312" w:hAnsi="Times New Roman" w:eastAsia="仿宋_GB2312"/>
          <w:b/>
          <w:sz w:val="32"/>
          <w:szCs w:val="32"/>
        </w:rPr>
        <w:t>3.有效运用会议平台促进信息公开</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本年度，学校召开党委会21次、校长办公会19次。对学校重大事项决策、重要人事任免、重要项目安排、大额资金使用等重大问题进行集体研究决定。通过召开教职工大会、中层干部通气会、专项工作推进会、辅导员（班主任）座谈会、教师代表座谈会、学生代表座谈会、离退休老同志座谈会、家长委员会等多种会议形式，及时向广大师生员工通报重大事项的真实情况和各项工作的开展情况，也充分征求广大师生员工在一些重要文件的制定和重大事项的决策上的意见建议，使广大师生员工的知情权、参与权和监督权得到有效保障，进一步推动学校事务公开化、透明化。</w:t>
      </w:r>
    </w:p>
    <w:p>
      <w:pPr>
        <w:adjustRightInd w:val="0"/>
        <w:snapToGrid w:val="0"/>
        <w:spacing w:line="560" w:lineRule="exact"/>
        <w:ind w:firstLine="643" w:firstLineChars="200"/>
        <w:rPr>
          <w:rFonts w:ascii="楷体_GB2312" w:hAnsi="Times New Roman" w:eastAsia="楷体_GB2312"/>
          <w:b/>
          <w:sz w:val="32"/>
          <w:szCs w:val="32"/>
        </w:rPr>
      </w:pPr>
      <w:r>
        <w:rPr>
          <w:rFonts w:hint="eastAsia" w:ascii="楷体_GB2312" w:hAnsi="Times New Roman" w:eastAsia="楷体_GB2312"/>
          <w:b/>
          <w:sz w:val="32"/>
          <w:szCs w:val="32"/>
        </w:rPr>
        <w:t>（二） 主动公开信息的主要内容</w:t>
      </w:r>
    </w:p>
    <w:p>
      <w:pPr>
        <w:adjustRightInd w:val="0"/>
        <w:snapToGrid w:val="0"/>
        <w:spacing w:line="560" w:lineRule="exact"/>
        <w:ind w:firstLine="643" w:firstLineChars="200"/>
        <w:rPr>
          <w:rFonts w:ascii="仿宋_GB2312" w:hAnsi="Times New Roman" w:eastAsia="仿宋_GB2312"/>
          <w:b/>
          <w:sz w:val="32"/>
          <w:szCs w:val="32"/>
        </w:rPr>
      </w:pPr>
      <w:r>
        <w:rPr>
          <w:rFonts w:hint="eastAsia" w:ascii="仿宋_GB2312" w:hAnsi="Times New Roman" w:eastAsia="仿宋_GB2312"/>
          <w:b/>
          <w:sz w:val="32"/>
          <w:szCs w:val="32"/>
        </w:rPr>
        <w:t>　1.基本信息</w:t>
      </w:r>
    </w:p>
    <w:p>
      <w:pPr>
        <w:pStyle w:val="4"/>
        <w:widowControl/>
        <w:adjustRightInd w:val="0"/>
        <w:snapToGrid w:val="0"/>
        <w:spacing w:line="560" w:lineRule="exact"/>
        <w:ind w:firstLine="640" w:firstLineChars="200"/>
        <w:jc w:val="both"/>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　通过门户网站设置的“学校概况”“焦点要闻”“通知公告”和“招标公告”专栏等板块，公布了学校基本信息。办学规模、各类在校生人数、教师和专业技术人员数量、校舍面积等情况公布在学校简介一栏；学校领导班子简介及分工公布在现任领导一栏；学校机构设置公布在组织机构一栏；各项规章制度公布在各职能部门的规章制度一栏；发展规划、年度工作计划及重点工作安排通过红头文件或者OA平台传达至各部门及全体教职工。</w:t>
      </w:r>
    </w:p>
    <w:p>
      <w:pPr>
        <w:adjustRightInd w:val="0"/>
        <w:snapToGrid w:val="0"/>
        <w:spacing w:line="560" w:lineRule="exact"/>
        <w:ind w:firstLine="643" w:firstLineChars="200"/>
        <w:rPr>
          <w:rFonts w:ascii="仿宋_GB2312" w:hAnsi="Times New Roman" w:eastAsia="仿宋_GB2312"/>
          <w:b/>
          <w:sz w:val="32"/>
          <w:szCs w:val="32"/>
        </w:rPr>
      </w:pPr>
      <w:r>
        <w:rPr>
          <w:rFonts w:hint="eastAsia" w:ascii="仿宋_GB2312" w:hAnsi="Times New Roman" w:eastAsia="仿宋_GB2312"/>
          <w:b/>
          <w:sz w:val="32"/>
          <w:szCs w:val="32"/>
        </w:rPr>
        <w:t>2.招生就业信息</w:t>
      </w:r>
    </w:p>
    <w:p>
      <w:pPr>
        <w:adjustRightInd w:val="0"/>
        <w:snapToGrid w:val="0"/>
        <w:spacing w:line="560" w:lineRule="exact"/>
        <w:ind w:firstLine="640" w:firstLineChars="200"/>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学校继续加大招生宣传力度。一是按上级文件规定及时在教育部阳光高考平台和学校招生网发布招生章程（含学校办学性质、录取规则、身体健康要求、收费标准、资助政策、录取查询方式、监督电话、招生咨询电话、入学地点等详细情况），让考生及时了解我校招生政策。二是在学校微信公众号和招生网及时发布学校招生计划、历年录取分数情况、各专业简介等内容介绍，让考生及时了解学校各招生专业情况。三是在招生省份各地市开展招生咨询活动。与考生“面对面、一对一”的进行志愿填报指导，为考生答疑解惑，提供更加专业的指导服务，并给学生送去学校精心制作的招生简章，为考生填报志愿提供最精准、最有效的服务。四是在13个省份的招生宣传刊物上刊登学校招生宣传版面，公布学校招生咨询电话和招生网址，让更多的考生了解学校情况，扩大学校知名度。</w:t>
      </w:r>
    </w:p>
    <w:p>
      <w:pPr>
        <w:adjustRightInd w:val="0"/>
        <w:snapToGrid w:val="0"/>
        <w:spacing w:line="560" w:lineRule="exact"/>
        <w:ind w:firstLine="640" w:firstLineChars="200"/>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学校高度重视毕业生就业工作。一是严格落实就业“一把手”工程，建立“学校主导、部门主抓、学院主责、全员参与”的就业工作机制。书记校长带头访企拓岗促就业，走访200余家企业，拓展岗位1106个。二是做好毕业生推介，举办2023年漳州卫生职业学院毕业生线下招聘会共计3场，各二级学院小型招聘会、宣讲会多场，累计提供有效岗位数共计6000余个。三是就业指导服务更加充分，做到就业政策宣传全覆盖，根据学生不同就业需求进行分类就业指导；针对困难毕业生实施“一对一”就业帮扶制度，除1人因病无法工作，其他困难生实现全部就业；2023届有572名困难毕业生获得求职创业补贴，发放114.4万元。2023届高职毕业生数3547人，截至11月1日，全校平均就业率87.03%，其中协议合同就业率74.65%，灵活就业率5.89%，升学6.34%。</w:t>
      </w:r>
    </w:p>
    <w:p>
      <w:pPr>
        <w:adjustRightInd w:val="0"/>
        <w:snapToGrid w:val="0"/>
        <w:spacing w:line="560" w:lineRule="exact"/>
        <w:ind w:firstLine="643" w:firstLineChars="200"/>
        <w:rPr>
          <w:rFonts w:ascii="仿宋_GB2312" w:hAnsi="Times New Roman" w:eastAsia="仿宋_GB2312"/>
          <w:b/>
          <w:sz w:val="32"/>
          <w:szCs w:val="32"/>
        </w:rPr>
      </w:pPr>
      <w:r>
        <w:rPr>
          <w:rFonts w:hint="eastAsia" w:ascii="仿宋_GB2312" w:hAnsi="Times New Roman" w:eastAsia="仿宋_GB2312"/>
          <w:b/>
          <w:sz w:val="32"/>
          <w:szCs w:val="32"/>
        </w:rPr>
        <w:t>3.财务、资产及收费信息</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制定完善《漳州卫生职业学院财经管理规定（修订）》《漳州卫生职业学院预算绩效管理办法（试行）》《漳州卫生职业学院会计档案管理办法》《漳州卫生职业学院学费收缴管理暂行办法》等财务管理制度，相关管理办法均以文件形式印发给校内各系部、处室，并在学校财务网站公开。收费的相关政策文件在校内LED电子屏公开。2022年学校的部门决算及2023年学校的部门预算在市教育局及市财政局官网公开。</w:t>
      </w:r>
    </w:p>
    <w:p>
      <w:pPr>
        <w:pStyle w:val="4"/>
        <w:widowControl/>
        <w:adjustRightInd w:val="0"/>
        <w:snapToGrid w:val="0"/>
        <w:spacing w:line="560" w:lineRule="exact"/>
        <w:ind w:firstLine="640" w:firstLineChars="200"/>
        <w:jc w:val="both"/>
        <w:rPr>
          <w:rFonts w:ascii="仿宋_GB2312" w:hAnsi="微软雅黑" w:eastAsia="仿宋_GB2312" w:cs="仿宋_GB2312"/>
          <w:color w:val="000000"/>
          <w:sz w:val="32"/>
          <w:szCs w:val="32"/>
        </w:rPr>
      </w:pPr>
      <w:r>
        <w:rPr>
          <w:rFonts w:hint="eastAsia" w:ascii="仿宋_GB2312" w:eastAsia="仿宋_GB2312"/>
          <w:sz w:val="32"/>
          <w:szCs w:val="32"/>
        </w:rPr>
        <w:t>积极推行政府采购，规范采购行为，大宗物质采购、办公设施和基建维修均严格按照有关规定和程序实行公开招投标，并通过学校官网进行公示公告。同时，做好固定资产管理，提升固定资产使用价值，减少低值易耗品成本。</w:t>
      </w:r>
    </w:p>
    <w:p>
      <w:pPr>
        <w:adjustRightInd w:val="0"/>
        <w:snapToGrid w:val="0"/>
        <w:spacing w:line="560" w:lineRule="exact"/>
        <w:ind w:firstLine="643" w:firstLineChars="200"/>
        <w:rPr>
          <w:rFonts w:ascii="仿宋_GB2312" w:hAnsi="Times New Roman" w:eastAsia="仿宋_GB2312"/>
          <w:b/>
          <w:sz w:val="32"/>
          <w:szCs w:val="32"/>
        </w:rPr>
      </w:pPr>
      <w:r>
        <w:rPr>
          <w:rFonts w:hint="eastAsia" w:ascii="仿宋_GB2312" w:hAnsi="Times New Roman" w:eastAsia="仿宋_GB2312"/>
          <w:b/>
          <w:sz w:val="32"/>
          <w:szCs w:val="32"/>
        </w:rPr>
        <w:t>4.人事师资信息</w:t>
      </w:r>
    </w:p>
    <w:p>
      <w:pPr>
        <w:pStyle w:val="4"/>
        <w:widowControl/>
        <w:adjustRightInd w:val="0"/>
        <w:snapToGri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本年度，学校通过上级部门网站、校园网、校务公开栏等方式，面向社会和全校教职工公示了人才招引、职称申报、年度考核及各类推荐人选等组织人事事项。期间，专业技术职务评聘6批次；公示各类考核优秀、推荐人选14批次；人才招聘2批次，其中高层次人才引进3人，公开考试招聘26人。</w:t>
      </w:r>
    </w:p>
    <w:p>
      <w:pPr>
        <w:adjustRightInd w:val="0"/>
        <w:snapToGrid w:val="0"/>
        <w:spacing w:line="560" w:lineRule="exact"/>
        <w:ind w:firstLine="643" w:firstLineChars="200"/>
        <w:rPr>
          <w:rFonts w:ascii="仿宋_GB2312" w:hAnsi="Times New Roman" w:eastAsia="仿宋_GB2312"/>
          <w:b/>
          <w:sz w:val="32"/>
          <w:szCs w:val="32"/>
        </w:rPr>
      </w:pPr>
      <w:r>
        <w:rPr>
          <w:rFonts w:hint="eastAsia" w:ascii="仿宋_GB2312" w:hAnsi="Times New Roman" w:eastAsia="仿宋_GB2312"/>
          <w:b/>
          <w:sz w:val="32"/>
          <w:szCs w:val="32"/>
        </w:rPr>
        <w:t>5.教学质量信息</w:t>
      </w:r>
    </w:p>
    <w:p>
      <w:pPr>
        <w:adjustRightInd w:val="0"/>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学校现有护理、药学、中药学、临床医学、医学检验、康复治疗技术、口腔医学技术专业群等7个专业群，23个专业，其中有临床医学、口腔医学、中医学、预防医学、针灸推拿等5个国控专业；国家级骨干专业1个，国家级示范专业点1个，省级示范专业5个、省级产教融合示范专业点1个、省级高水平专业群2个，省级特色专业群1个；国家级生产性实训基地1个、省级实训基地11个。2022年，学校与厦门医学院首次开展中药学专业“专本贯通”人才培养试点，完成招生。开设各类课程共1413门，各专业实践教学学分占总学分比例平均达到69.9%。学校开展人才培养质量调研工作，教学相关信息在人才培养质量年度报告及数据平台中均有体现。</w:t>
      </w:r>
    </w:p>
    <w:p>
      <w:pPr>
        <w:adjustRightInd w:val="0"/>
        <w:snapToGrid w:val="0"/>
        <w:spacing w:line="560" w:lineRule="exact"/>
        <w:ind w:firstLine="643" w:firstLineChars="200"/>
        <w:rPr>
          <w:rFonts w:ascii="仿宋_GB2312" w:hAnsi="Times New Roman" w:eastAsia="仿宋_GB2312"/>
          <w:b/>
          <w:sz w:val="32"/>
          <w:szCs w:val="32"/>
        </w:rPr>
      </w:pPr>
      <w:r>
        <w:rPr>
          <w:rFonts w:hint="eastAsia" w:ascii="仿宋_GB2312" w:hAnsi="Times New Roman" w:eastAsia="仿宋_GB2312"/>
          <w:b/>
          <w:sz w:val="32"/>
          <w:szCs w:val="32"/>
        </w:rPr>
        <w:t>6.学生管理服务信息</w:t>
      </w:r>
    </w:p>
    <w:p>
      <w:pPr>
        <w:adjustRightInd w:val="0"/>
        <w:snapToGrid w:val="0"/>
        <w:spacing w:line="560" w:lineRule="exact"/>
        <w:ind w:firstLine="640" w:firstLineChars="200"/>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学校将学生管理有关规定及文件汇编印制成《学生手册》，在新生入学初分发给新生，并通过入学教育、微信推送、班会及电子屏幕等多种方式进行宣传、教育。完善《漳州卫生职业学院奖学金实施办法（修订）》《漳州卫生职业学院家庭经济困难学生贫困认定工作及国家助学金发放实施办法（修订)》《漳州卫生职业学院国家奖学金、国家励志奖学金实施办法》《漳州卫生职业学院学生勤工助学管理办法（修订）》《漳州卫生职业学院学生违纪处分管理规定（修订）》等有关文件，及时向学生公开奖学金、助学金、勤工助学、学生奖惩、学生公寓收费标准、征兵等各类信息。</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三、依申请公开情况</w:t>
      </w:r>
    </w:p>
    <w:p>
      <w:pPr>
        <w:pStyle w:val="4"/>
        <w:widowControl/>
        <w:adjustRightInd w:val="0"/>
        <w:snapToGrid w:val="0"/>
        <w:spacing w:line="560" w:lineRule="exact"/>
        <w:ind w:firstLine="640" w:firstLineChars="200"/>
        <w:jc w:val="both"/>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本学年学校未收到依申请公开的申请。学校坚决按照《高等学校信息公开办法》对不予公开的信息不予公开。</w:t>
      </w:r>
    </w:p>
    <w:p>
      <w:pPr>
        <w:pStyle w:val="4"/>
        <w:widowControl/>
        <w:adjustRightInd w:val="0"/>
        <w:snapToGrid w:val="0"/>
        <w:spacing w:line="560" w:lineRule="exact"/>
        <w:ind w:firstLine="640" w:firstLineChars="200"/>
        <w:jc w:val="both"/>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本学年没有发生针对公民、法人和其他组织依申请提供信息收取的任何费用。</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四、对信息公开的评议情况</w:t>
      </w:r>
    </w:p>
    <w:p>
      <w:pPr>
        <w:pStyle w:val="4"/>
        <w:widowControl/>
        <w:adjustRightInd w:val="0"/>
        <w:snapToGrid w:val="0"/>
        <w:spacing w:line="560" w:lineRule="exact"/>
        <w:ind w:firstLine="640" w:firstLineChars="200"/>
        <w:jc w:val="both"/>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本学年学校未收到来自个人或集体的不良评议。</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五、因学校信息公开工作受到举报、复议、诉讼的情况</w:t>
      </w:r>
    </w:p>
    <w:p>
      <w:pPr>
        <w:pStyle w:val="4"/>
        <w:widowControl/>
        <w:adjustRightInd w:val="0"/>
        <w:snapToGrid w:val="0"/>
        <w:spacing w:line="560" w:lineRule="exact"/>
        <w:ind w:firstLine="640" w:firstLineChars="200"/>
        <w:jc w:val="both"/>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本年度学校未因信息公开工作遭到任何个人或集体举报、复议、诉讼。</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六、信息公开的主要经验、存在问题和改进措施</w:t>
      </w:r>
    </w:p>
    <w:p>
      <w:pPr>
        <w:adjustRightInd w:val="0"/>
        <w:snapToGrid w:val="0"/>
        <w:spacing w:line="560" w:lineRule="exact"/>
        <w:ind w:firstLine="640" w:firstLineChars="200"/>
        <w:rPr>
          <w:rFonts w:ascii="仿宋_GB2312" w:eastAsia="仿宋_GB2312"/>
          <w:sz w:val="32"/>
          <w:szCs w:val="32"/>
        </w:rPr>
      </w:pPr>
      <w:r>
        <w:rPr>
          <w:rFonts w:hint="eastAsia" w:ascii="仿宋_GB2312" w:hAnsi="微软雅黑" w:eastAsia="仿宋_GB2312" w:cs="仿宋_GB2312"/>
          <w:color w:val="000000"/>
          <w:kern w:val="0"/>
          <w:sz w:val="32"/>
          <w:szCs w:val="32"/>
        </w:rPr>
        <w:t>学校充分运用信息化手段，及时发布各类信息和相关动态，使广大师生和社会公众对涉及学校改革发展的重大事项、重大决策、重要规章制度以及与教职工利益相关的重大问题较为了解。学校师生对信息公开的内容、方式和途径较为满意。实施信息公开是一项长期的系统工程，目前也还存在一些不足，</w:t>
      </w:r>
      <w:r>
        <w:rPr>
          <w:rFonts w:hint="eastAsia" w:ascii="仿宋_GB2312" w:eastAsia="仿宋_GB2312"/>
          <w:b/>
          <w:sz w:val="32"/>
          <w:szCs w:val="32"/>
        </w:rPr>
        <w:t>一是思想认识有待进一步加强。</w:t>
      </w:r>
      <w:r>
        <w:rPr>
          <w:rFonts w:hint="eastAsia" w:ascii="仿宋_GB2312" w:eastAsia="仿宋_GB2312"/>
          <w:sz w:val="32"/>
          <w:szCs w:val="32"/>
        </w:rPr>
        <w:t>个别</w:t>
      </w:r>
      <w:r>
        <w:rPr>
          <w:rFonts w:hint="eastAsia" w:ascii="仿宋_GB2312" w:hAnsi="微软雅黑" w:eastAsia="仿宋_GB2312" w:cs="仿宋_GB2312"/>
          <w:color w:val="000000"/>
          <w:kern w:val="0"/>
          <w:sz w:val="32"/>
          <w:szCs w:val="32"/>
        </w:rPr>
        <w:t>信息公开工作人员</w:t>
      </w:r>
      <w:r>
        <w:rPr>
          <w:rFonts w:hint="eastAsia" w:ascii="仿宋_GB2312" w:eastAsia="仿宋_GB2312"/>
          <w:sz w:val="32"/>
          <w:szCs w:val="32"/>
        </w:rPr>
        <w:t>没有深刻认识到信息公开的重要性，</w:t>
      </w:r>
      <w:r>
        <w:rPr>
          <w:rFonts w:hint="eastAsia" w:ascii="仿宋_GB2312" w:hAnsi="微软雅黑" w:eastAsia="仿宋_GB2312" w:cs="仿宋_GB2312"/>
          <w:color w:val="000000"/>
          <w:kern w:val="0"/>
          <w:sz w:val="32"/>
          <w:szCs w:val="32"/>
        </w:rPr>
        <w:t>业务能力有待进一步提高</w:t>
      </w:r>
      <w:r>
        <w:rPr>
          <w:rFonts w:hint="eastAsia" w:ascii="仿宋_GB2312" w:eastAsia="仿宋_GB2312"/>
          <w:sz w:val="32"/>
          <w:szCs w:val="32"/>
        </w:rPr>
        <w:t>。</w:t>
      </w:r>
      <w:r>
        <w:rPr>
          <w:rFonts w:hint="eastAsia" w:ascii="仿宋_GB2312" w:eastAsia="仿宋_GB2312"/>
          <w:b/>
          <w:sz w:val="32"/>
          <w:szCs w:val="32"/>
        </w:rPr>
        <w:t>二是深度广度有待进一步拓展。</w:t>
      </w:r>
      <w:r>
        <w:rPr>
          <w:rFonts w:hint="eastAsia" w:ascii="仿宋_GB2312" w:eastAsia="仿宋_GB2312"/>
          <w:sz w:val="32"/>
          <w:szCs w:val="32"/>
        </w:rPr>
        <w:t>信息公开是一项长期工作，要不断适应形势的变化和学校的发展，现有的公开渠道还比较单一，内容还不够丰富，形式还有待创新。</w:t>
      </w:r>
      <w:r>
        <w:rPr>
          <w:rFonts w:hint="eastAsia" w:ascii="仿宋_GB2312" w:eastAsia="仿宋_GB2312"/>
          <w:b/>
          <w:sz w:val="32"/>
          <w:szCs w:val="32"/>
        </w:rPr>
        <w:t>三是工作规范有待进一步完善。</w:t>
      </w:r>
      <w:r>
        <w:rPr>
          <w:rFonts w:hint="eastAsia" w:ascii="仿宋_GB2312" w:eastAsia="仿宋_GB2312"/>
          <w:sz w:val="32"/>
          <w:szCs w:val="32"/>
        </w:rPr>
        <w:t>信息公开工作，尤其是在公开审核标准和认证、敏感事项公开审查标准及程序等方面，还需持续完善制度体系建设，规范公开程序和工作的方式方法。</w:t>
      </w:r>
      <w:r>
        <w:rPr>
          <w:rFonts w:hint="eastAsia" w:ascii="仿宋_GB2312" w:hAnsi="微软雅黑" w:eastAsia="仿宋_GB2312" w:cs="仿宋_GB2312"/>
          <w:color w:val="000000"/>
          <w:kern w:val="0"/>
          <w:sz w:val="32"/>
          <w:szCs w:val="32"/>
        </w:rPr>
        <w:t>下阶段将重点抓好信息公开的长效机制建设，进一步整合信息公开平台，优化信息发布流程，扩大信息公开的范围，积极推动信息公开向基层延伸，确保信息公开工作深入、持续、高效地开展。</w:t>
      </w:r>
      <w:r>
        <w:rPr>
          <w:rFonts w:hint="eastAsia" w:ascii="仿宋_GB2312" w:eastAsia="仿宋_GB2312"/>
          <w:b/>
          <w:sz w:val="32"/>
          <w:szCs w:val="32"/>
        </w:rPr>
        <w:t>一是抓学习，提站位，强化公开意识。</w:t>
      </w:r>
      <w:r>
        <w:rPr>
          <w:rFonts w:hint="eastAsia" w:ascii="仿宋_GB2312" w:eastAsia="仿宋_GB2312"/>
          <w:sz w:val="32"/>
          <w:szCs w:val="32"/>
        </w:rPr>
        <w:t>要深入学习、强化宣传、加强教育，切实用习近平新时代中国特色社会主义思想武装头脑、指导实践、推动工作，进一步强化各部门对信息公开重要性的认识，督促其严格做好信息公开工作，不打折扣、不搞变通。</w:t>
      </w:r>
      <w:r>
        <w:rPr>
          <w:rFonts w:hint="eastAsia" w:ascii="仿宋_GB2312" w:eastAsia="仿宋_GB2312"/>
          <w:b/>
          <w:sz w:val="32"/>
          <w:szCs w:val="32"/>
        </w:rPr>
        <w:t>二是覆盲点，明重点，拓展公开渠道。</w:t>
      </w:r>
      <w:r>
        <w:rPr>
          <w:rFonts w:hint="eastAsia" w:ascii="仿宋_GB2312" w:eastAsia="仿宋_GB2312"/>
          <w:sz w:val="32"/>
          <w:szCs w:val="32"/>
        </w:rPr>
        <w:t>在夯实巩固信息公开既有内容的基础上，结合实际工作，突出学校工作的重点、难点以及师生员工和社会关心的热点问题，推进重点领域信息公开，确保决策公开化、民主化、科学化；要在确保现有公开模式不缩水、不变形的前提下，进一步丰富信息公开形式，充分利用自媒体等多元化媒介深入推进信息公开载体建设。</w:t>
      </w:r>
      <w:r>
        <w:rPr>
          <w:rFonts w:hint="eastAsia" w:ascii="仿宋_GB2312" w:eastAsia="仿宋_GB2312"/>
          <w:b/>
          <w:sz w:val="32"/>
          <w:szCs w:val="32"/>
        </w:rPr>
        <w:t>三是严要求，重程序，完善制度保障。</w:t>
      </w:r>
      <w:r>
        <w:rPr>
          <w:rFonts w:hint="eastAsia" w:ascii="仿宋_GB2312" w:eastAsia="仿宋_GB2312"/>
          <w:sz w:val="32"/>
          <w:szCs w:val="32"/>
        </w:rPr>
        <w:t>进一步完善信息公开制度，严格规范信息公开程序，健全监督检查机制，不断完善和健全信息公开体制机制。</w:t>
      </w:r>
    </w:p>
    <w:p>
      <w:pPr>
        <w:adjustRightInd w:val="0"/>
        <w:snapToGrid w:val="0"/>
        <w:spacing w:line="560" w:lineRule="exact"/>
        <w:ind w:firstLine="640" w:firstLineChars="200"/>
        <w:rPr>
          <w:rFonts w:ascii="仿宋_GB2312" w:hAnsi="微软雅黑" w:eastAsia="仿宋_GB2312" w:cs="仿宋_GB2312"/>
          <w:color w:val="000000"/>
          <w:kern w:val="0"/>
          <w:sz w:val="32"/>
          <w:szCs w:val="32"/>
        </w:rPr>
      </w:pPr>
    </w:p>
    <w:p>
      <w:pPr>
        <w:widowControl/>
        <w:adjustRightInd w:val="0"/>
        <w:snapToGrid w:val="0"/>
        <w:spacing w:line="560" w:lineRule="exact"/>
        <w:ind w:firstLine="600" w:firstLineChars="200"/>
        <w:rPr>
          <w:rFonts w:ascii="仿宋_GB2312" w:hAnsi="微软雅黑" w:eastAsia="仿宋_GB2312" w:cs="仿宋_GB2312"/>
          <w:color w:val="000000"/>
          <w:kern w:val="0"/>
          <w:sz w:val="30"/>
          <w:szCs w:val="30"/>
        </w:rPr>
      </w:pPr>
    </w:p>
    <w:p>
      <w:pPr>
        <w:rPr>
          <w:rFonts w:ascii="仿宋_GB2312" w:hAnsi="微软雅黑" w:eastAsia="仿宋_GB2312" w:cs="仿宋_GB2312"/>
          <w:color w:val="000000"/>
          <w:kern w:val="0"/>
          <w:sz w:val="30"/>
          <w:szCs w:val="30"/>
        </w:rPr>
      </w:pPr>
      <w:r>
        <w:rPr>
          <w:rFonts w:hint="eastAsia" w:ascii="仿宋_GB2312" w:hAnsi="微软雅黑" w:eastAsia="仿宋_GB2312" w:cs="仿宋_GB2312"/>
          <w:color w:val="000000"/>
          <w:kern w:val="0"/>
          <w:sz w:val="30"/>
          <w:szCs w:val="30"/>
        </w:rPr>
        <w:t xml:space="preserve">                                       </w:t>
      </w:r>
    </w:p>
    <w:p>
      <w:pPr>
        <w:ind w:firstLine="5440" w:firstLineChars="1700"/>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漳州卫生职业学院</w:t>
      </w:r>
    </w:p>
    <w:p>
      <w:pPr>
        <w:rPr>
          <w:rFonts w:ascii="仿宋_GB2312" w:hAnsi="微软雅黑" w:eastAsia="仿宋_GB2312" w:cs="仿宋_GB2312"/>
          <w:color w:val="000000"/>
          <w:kern w:val="0"/>
          <w:sz w:val="32"/>
          <w:szCs w:val="32"/>
        </w:rPr>
      </w:pPr>
      <w:r>
        <w:rPr>
          <w:rFonts w:hint="eastAsia" w:ascii="仿宋_GB2312" w:hAnsi="微软雅黑" w:eastAsia="仿宋_GB2312" w:cs="仿宋_GB2312"/>
          <w:color w:val="000000"/>
          <w:kern w:val="0"/>
          <w:sz w:val="32"/>
          <w:szCs w:val="32"/>
        </w:rPr>
        <w:t xml:space="preserve">                                   2023年11月10日</w:t>
      </w:r>
    </w:p>
    <w:p>
      <w:pPr>
        <w:rPr>
          <w:rFonts w:ascii="仿宋_GB2312" w:hAnsi="微软雅黑" w:eastAsia="仿宋_GB2312" w:cs="仿宋_GB2312"/>
          <w:color w:val="000000"/>
          <w:kern w:val="0"/>
          <w:sz w:val="30"/>
          <w:szCs w:val="30"/>
        </w:rPr>
      </w:pPr>
    </w:p>
    <w:p>
      <w:pPr>
        <w:rPr>
          <w:rFonts w:ascii="仿宋_GB2312" w:hAnsi="微软雅黑" w:eastAsia="仿宋_GB2312" w:cs="仿宋_GB2312"/>
          <w:color w:val="000000"/>
          <w:kern w:val="0"/>
          <w:sz w:val="30"/>
          <w:szCs w:val="30"/>
        </w:rPr>
      </w:pPr>
    </w:p>
    <w:p>
      <w:pPr>
        <w:rPr>
          <w:rFonts w:ascii="仿宋_GB2312" w:hAnsi="微软雅黑" w:eastAsia="仿宋_GB2312" w:cs="仿宋_GB2312"/>
          <w:color w:val="000000"/>
          <w:kern w:val="0"/>
          <w:sz w:val="30"/>
          <w:szCs w:val="30"/>
        </w:rPr>
      </w:pPr>
    </w:p>
    <w:p>
      <w:pPr>
        <w:rPr>
          <w:rFonts w:hint="eastAsia" w:ascii="仿宋_GB2312" w:hAnsi="微软雅黑" w:eastAsia="仿宋_GB2312" w:cs="仿宋_GB2312"/>
          <w:color w:val="000000"/>
          <w:kern w:val="0"/>
          <w:sz w:val="30"/>
          <w:szCs w:val="30"/>
        </w:rPr>
      </w:pPr>
    </w:p>
    <w:p>
      <w:pPr>
        <w:rPr>
          <w:rFonts w:hint="eastAsia" w:ascii="仿宋_GB2312" w:hAnsi="微软雅黑" w:eastAsia="仿宋_GB2312" w:cs="仿宋_GB2312"/>
          <w:color w:val="000000"/>
          <w:kern w:val="0"/>
          <w:sz w:val="30"/>
          <w:szCs w:val="30"/>
        </w:rPr>
      </w:pPr>
    </w:p>
    <w:p>
      <w:pPr>
        <w:rPr>
          <w:rFonts w:ascii="仿宋_GB2312" w:hAnsi="微软雅黑" w:eastAsia="仿宋_GB2312" w:cs="仿宋_GB2312"/>
          <w:color w:val="000000"/>
          <w:kern w:val="0"/>
          <w:sz w:val="30"/>
          <w:szCs w:val="30"/>
        </w:rPr>
      </w:pPr>
    </w:p>
    <w:p>
      <w:pPr>
        <w:rPr>
          <w:rFonts w:ascii="仿宋_GB2312" w:hAnsi="微软雅黑" w:eastAsia="仿宋_GB2312" w:cs="仿宋_GB2312"/>
          <w:color w:val="000000"/>
          <w:kern w:val="0"/>
          <w:sz w:val="30"/>
          <w:szCs w:val="30"/>
        </w:rPr>
      </w:pPr>
    </w:p>
    <w:tbl>
      <w:tblPr>
        <w:tblStyle w:val="5"/>
        <w:tblW w:w="9570" w:type="dxa"/>
        <w:tblCellSpacing w:w="0" w:type="dxa"/>
        <w:tblInd w:w="-639" w:type="dxa"/>
        <w:tblLayout w:type="fixed"/>
        <w:tblCellMar>
          <w:top w:w="0" w:type="dxa"/>
          <w:left w:w="0" w:type="dxa"/>
          <w:bottom w:w="0" w:type="dxa"/>
          <w:right w:w="0" w:type="dxa"/>
        </w:tblCellMar>
      </w:tblPr>
      <w:tblGrid>
        <w:gridCol w:w="9570"/>
      </w:tblGrid>
      <w:tr>
        <w:tblPrEx>
          <w:tblCellMar>
            <w:top w:w="0" w:type="dxa"/>
            <w:left w:w="0" w:type="dxa"/>
            <w:bottom w:w="0" w:type="dxa"/>
            <w:right w:w="0" w:type="dxa"/>
          </w:tblCellMar>
        </w:tblPrEx>
        <w:trPr>
          <w:tblCellSpacing w:w="0" w:type="dxa"/>
        </w:trPr>
        <w:tc>
          <w:tcPr>
            <w:tcW w:w="9570" w:type="dxa"/>
            <w:vAlign w:val="center"/>
          </w:tcPr>
          <w:p>
            <w:pPr>
              <w:pStyle w:val="4"/>
              <w:widowControl/>
              <w:spacing w:line="555" w:lineRule="atLeast"/>
              <w:ind w:firstLine="645"/>
              <w:jc w:val="both"/>
              <w:rPr>
                <w:rFonts w:ascii="黑体" w:hAnsi="黑体" w:eastAsia="黑体"/>
                <w:kern w:val="2"/>
                <w:sz w:val="32"/>
                <w:szCs w:val="32"/>
              </w:rPr>
            </w:pPr>
            <w:r>
              <w:rPr>
                <w:rFonts w:hint="eastAsia" w:ascii="黑体" w:hAnsi="黑体" w:eastAsia="黑体"/>
                <w:kern w:val="2"/>
                <w:sz w:val="32"/>
                <w:szCs w:val="32"/>
              </w:rPr>
              <w:t>七、清单事项公开情况</w:t>
            </w:r>
          </w:p>
          <w:tbl>
            <w:tblPr>
              <w:tblStyle w:val="5"/>
              <w:tblW w:w="9450" w:type="dxa"/>
              <w:tblCellSpacing w:w="15" w:type="dxa"/>
              <w:tblInd w:w="0" w:type="dxa"/>
              <w:tblLayout w:type="fixed"/>
              <w:tblCellMar>
                <w:top w:w="15" w:type="dxa"/>
                <w:left w:w="15" w:type="dxa"/>
                <w:bottom w:w="15" w:type="dxa"/>
                <w:right w:w="15" w:type="dxa"/>
              </w:tblCellMar>
            </w:tblPr>
            <w:tblGrid>
              <w:gridCol w:w="4650"/>
              <w:gridCol w:w="4800"/>
            </w:tblGrid>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tcPr>
                <w:p>
                  <w:pPr>
                    <w:pStyle w:val="4"/>
                    <w:widowControl/>
                    <w:spacing w:line="555" w:lineRule="atLeast"/>
                    <w:ind w:firstLine="645"/>
                    <w:jc w:val="both"/>
                    <w:rPr>
                      <w:rFonts w:ascii="黑体" w:hAnsi="黑体" w:eastAsia="黑体"/>
                      <w:kern w:val="2"/>
                      <w:sz w:val="32"/>
                      <w:szCs w:val="32"/>
                    </w:rPr>
                  </w:pPr>
                  <w:r>
                    <w:rPr>
                      <w:rFonts w:hint="eastAsia" w:ascii="黑体" w:hAnsi="黑体" w:eastAsia="黑体"/>
                      <w:kern w:val="2"/>
                      <w:sz w:val="32"/>
                      <w:szCs w:val="32"/>
                    </w:rPr>
                    <w:t>公开事项</w:t>
                  </w:r>
                </w:p>
              </w:tc>
              <w:tc>
                <w:tcPr>
                  <w:tcW w:w="4755" w:type="dxa"/>
                  <w:tcMar>
                    <w:top w:w="0" w:type="dxa"/>
                    <w:left w:w="105" w:type="dxa"/>
                    <w:bottom w:w="0" w:type="dxa"/>
                    <w:right w:w="105" w:type="dxa"/>
                  </w:tcMar>
                </w:tcPr>
                <w:p>
                  <w:pPr>
                    <w:pStyle w:val="4"/>
                    <w:widowControl/>
                    <w:spacing w:line="555" w:lineRule="atLeast"/>
                    <w:ind w:firstLine="645"/>
                    <w:jc w:val="both"/>
                    <w:rPr>
                      <w:rFonts w:ascii="黑体" w:hAnsi="黑体" w:eastAsia="黑体"/>
                      <w:kern w:val="2"/>
                      <w:sz w:val="32"/>
                      <w:szCs w:val="32"/>
                    </w:rPr>
                  </w:pPr>
                  <w:r>
                    <w:rPr>
                      <w:rFonts w:hint="eastAsia" w:ascii="黑体" w:hAnsi="黑体" w:eastAsia="黑体"/>
                      <w:kern w:val="2"/>
                      <w:sz w:val="32"/>
                      <w:szCs w:val="32"/>
                    </w:rPr>
                    <w:t>公开情况</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sz w:val="32"/>
                      <w:szCs w:val="32"/>
                    </w:rPr>
                  </w:pPr>
                  <w:r>
                    <w:rPr>
                      <w:rFonts w:hint="eastAsia" w:ascii="仿宋_GB2312" w:hAnsi="微软雅黑" w:eastAsia="仿宋_GB2312" w:cs="仿宋_GB2312"/>
                      <w:color w:val="000000"/>
                      <w:sz w:val="32"/>
                      <w:szCs w:val="32"/>
                    </w:rPr>
                    <w:t>（1）办学规模、校级领导班子简介及分工、学校机构设置、学科情况、专业情况、各类在校生情况、教师和专业技术人员数量等办学基本情况</w:t>
                  </w:r>
                </w:p>
              </w:tc>
              <w:tc>
                <w:tcPr>
                  <w:tcW w:w="4755" w:type="dxa"/>
                  <w:tcMar>
                    <w:top w:w="0" w:type="dxa"/>
                    <w:left w:w="105" w:type="dxa"/>
                    <w:bottom w:w="0" w:type="dxa"/>
                    <w:right w:w="105" w:type="dxa"/>
                  </w:tcMar>
                </w:tcPr>
                <w:p>
                  <w:pPr>
                    <w:pStyle w:val="4"/>
                    <w:widowControl/>
                    <w:spacing w:line="555" w:lineRule="atLeast"/>
                    <w:jc w:val="both"/>
                    <w:rPr>
                      <w:sz w:val="32"/>
                      <w:szCs w:val="32"/>
                    </w:rPr>
                  </w:pPr>
                  <w:r>
                    <w:rPr>
                      <w:rStyle w:val="7"/>
                      <w:rFonts w:hint="eastAsia" w:ascii="仿宋_GB2312" w:hAnsi="微软雅黑" w:eastAsia="仿宋_GB2312" w:cs="仿宋_GB2312"/>
                      <w:color w:val="000000"/>
                      <w:sz w:val="32"/>
                      <w:szCs w:val="32"/>
                    </w:rPr>
                    <w:t> </w:t>
                  </w:r>
                  <w:r>
                    <w:rPr>
                      <w:rFonts w:hint="eastAsia" w:ascii="仿宋_GB2312" w:hAnsi="微软雅黑" w:eastAsia="仿宋_GB2312" w:cs="仿宋_GB2312"/>
                      <w:color w:val="000000"/>
                      <w:sz w:val="32"/>
                      <w:szCs w:val="32"/>
                    </w:rPr>
                    <w:t>http://www.zzwzy.edu.cn/xxgk/xxjj.htm</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（2）学校章程及制定的各项规章制度</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http://www.zzwzy.edu.cn/xxgk/xxzc.htm</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（3）教职工代表大会相关制度、工作报告</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http://www.zzwzy.edu.cn/gonghui/</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（4）学术委员会相关制度、年度报告</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http://www.zzwzy.edu.cn/kyk/list.jsp?urltype=tree.TreeTempUrl&amp;wbtreeid=1060</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（5）学校发展规划、年度工作计划及重点工作安排</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内网</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（6）信息公开年度报告</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http://www.zzwzy.edu.cn/info/1013/17867.htm</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（7）招生章程及特殊类型招生办法，分批次、分科类招生计划</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http://www.zzwzy.edu.cn/zsc/</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（8）保送、自主选拔录取、高水平运动员和艺术特长生招生等特殊类型招生入选考生资格及测试结果</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http://www.zzwzy.edu.cn/zsc/ </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（9）考生个人录取信息查询渠道和办法，分批次、分科类录取人数和录取最低分</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http://www.zzwzy.edu.cn/zsc/lnlq.htm</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（10）招生咨询及考生申诉渠道，新生复查期间有关举报、调查及处理结果</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http://www.zzwzy.edu.cn/zsc/ </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（11）研究生招生简章、招生专业目录、复试录取办法，各院（系、所）或学科、专业招收研究生人数</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学校不招研究生</w:t>
                  </w:r>
                </w:p>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 </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（12）参加研究生复试的考生成绩</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学院不招研究生</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（13）拟录取研究生名单</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学校不招研究生</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（14）研究生招生咨询及申诉渠道</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学校不招研究生</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（15）财务、资产管理制度</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http://www.zzwzy.edu.cn/hqc/index.jsp</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（16）受捐赠财产的使用与管理情况</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内网</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（17）校办企业资产、负债、国有资产保值增值等信息</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内网</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（18）仪器设备、图书、药品等物资设备采购和重大基建工程的招投标</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http://www.zzwzy.edu.cn/xxfw/zbgg.htm</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（19）收支预算总表、收入预算表、支出预算表、财政拨款支出预算表</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http://jyj.zhangzhou.gov.cn/cms/html/zzsjyj/2023-02-07/215743542.html</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（20）收支决算总表、收入决算表、支出决算表、财政拨款支出决算表</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http://jyj.zhangzhou.gov.cn/cms/html/zzsjyj/2023-08-03/84775409.html</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（21）收费项目、收费依据、收费标准及投诉方式</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校内电子屏</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（22）校级领导干部社会兼职情况</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校级领导干部无社会兼职</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（23）校级领导干部因公出国（境）情况</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本年度校级领导干部无因公出国（境）情况</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（24）岗位设置管理与聘用办法</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内网</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（25）校内中层干部任免、人员招聘信息</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校内信息公开栏</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（26）教职工争议解决办法</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内网</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（27）本科生占全日制在校生总数的比例、教师数量及结构</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无本科层次学生</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（28）专业设置、当年新增专业、停招专业名单</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http://www.zzwzy.edu.cn/jwc/zyjs.htm</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（29）全校开设课程总门数、实践教学学分占总学分比例、选修课学分占总学分比例</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内网</w:t>
                  </w:r>
                </w:p>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 </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（30）主讲本科课程的教授占教授总数的比例、教授授本科课程占课程总门次数的比例</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无本科层次学生</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（31）促进毕业生就业的政策措施和指导服务</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http://www.zzwzy.edu.cn/jyc/index.jsp</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（32）毕业生的规模、结构、就业率、就业流向</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http://www.zzwzy.edu.cn/jyc/index.jsp</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（33）高校毕业生就业质量年度报告</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http://www.zzwzy.edu.cn/jyc/index.jsp</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（34）艺术教育发展年度报告</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无艺术教育类学生</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（35）本科教学质量报告</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无本科层次学生</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（36）学籍管理办法</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内网</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（37）学生奖学金、助学金、学费减免、助学贷款、勤工俭学的申请与管理规定</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http://www.zzwzy.edu.cn/xsc/</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（38）学生奖励处罚办法</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http://www.zzwzy.edu.cn/xsc/</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（39）学生申诉办法</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http://www.zzwzy.edu.cn/xsc/</w:t>
                  </w:r>
                </w:p>
              </w:tc>
            </w:tr>
            <w:tr>
              <w:tblPrEx>
                <w:tblCellMar>
                  <w:top w:w="15" w:type="dxa"/>
                  <w:left w:w="15" w:type="dxa"/>
                  <w:bottom w:w="15" w:type="dxa"/>
                  <w:right w:w="15" w:type="dxa"/>
                </w:tblCellMar>
              </w:tblPrEx>
              <w:trPr>
                <w:trHeight w:val="285" w:hRule="atLeast"/>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（40）学风建设机构</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http://www.zzwzy.edu.cn/xsc/</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（41）学术规范制度</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http://www.zzwzy.edu.cn/xsc/</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（42）学术不端行为查处机制</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内网</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（43）授予博士、硕士、学士学位的基本要求</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学校无需授予学位</w:t>
                  </w:r>
                </w:p>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 </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（44）拟授予硕士、博士学位同等学力人员资格审查和学力水平认定</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不培养硕士、博士</w:t>
                  </w:r>
                </w:p>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 </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（45）新增硕士、博士学位授权学科或专业学位授权点审核办法</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不培养硕士、博士</w:t>
                  </w:r>
                </w:p>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 </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（46）拟新增学位授权学科或专业学位授权点的申报及论证材料</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不授予学位</w:t>
                  </w:r>
                </w:p>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 </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（47）中外合作办学情况</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http://www.zzwzy.edu.cn/shhzc/</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（48）来华留学生管理相关规定</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无留学生</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（49）巡视组反馈意见，落实反馈意见整改情况</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内网</w:t>
                  </w:r>
                </w:p>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 </w:t>
                  </w:r>
                </w:p>
              </w:tc>
            </w:tr>
            <w:tr>
              <w:tblPrEx>
                <w:tblCellMar>
                  <w:top w:w="15" w:type="dxa"/>
                  <w:left w:w="15" w:type="dxa"/>
                  <w:bottom w:w="15" w:type="dxa"/>
                  <w:right w:w="15" w:type="dxa"/>
                </w:tblCellMar>
              </w:tblPrEx>
              <w:trPr>
                <w:tblCellSpacing w:w="15" w:type="dxa"/>
              </w:trPr>
              <w:tc>
                <w:tcPr>
                  <w:tcW w:w="4605" w:type="dxa"/>
                  <w:tcMar>
                    <w:top w:w="0" w:type="dxa"/>
                    <w:left w:w="105" w:type="dxa"/>
                    <w:bottom w:w="0" w:type="dxa"/>
                    <w:right w:w="105" w:type="dxa"/>
                  </w:tcMar>
                  <w:vAlign w:val="cente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（50）自然灾害等突发事件的应急处理预案、预警信息和处置情况，涉及学校的重大事件的调查和处理情况</w:t>
                  </w:r>
                </w:p>
              </w:tc>
              <w:tc>
                <w:tcPr>
                  <w:tcW w:w="4755" w:type="dxa"/>
                  <w:tcMar>
                    <w:top w:w="0" w:type="dxa"/>
                    <w:left w:w="105" w:type="dxa"/>
                    <w:bottom w:w="0" w:type="dxa"/>
                    <w:right w:w="105" w:type="dxa"/>
                  </w:tcMar>
                </w:tcPr>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内网</w:t>
                  </w:r>
                </w:p>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 </w:t>
                  </w:r>
                </w:p>
              </w:tc>
            </w:tr>
          </w:tbl>
          <w:p>
            <w:pPr>
              <w:pStyle w:val="4"/>
              <w:widowControl/>
              <w:spacing w:line="555" w:lineRule="atLeast"/>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 </w:t>
            </w:r>
          </w:p>
          <w:p>
            <w:pPr>
              <w:pStyle w:val="4"/>
              <w:widowControl/>
              <w:spacing w:line="555" w:lineRule="atLeast"/>
              <w:ind w:firstLine="5440" w:firstLineChars="1700"/>
              <w:jc w:val="both"/>
              <w:textAlignment w:val="center"/>
              <w:rPr>
                <w:rFonts w:ascii="仿宋_GB2312" w:hAnsi="微软雅黑" w:eastAsia="仿宋_GB2312" w:cs="仿宋_GB2312"/>
                <w:color w:val="000000"/>
                <w:sz w:val="32"/>
                <w:szCs w:val="32"/>
              </w:rPr>
            </w:pPr>
            <w:r>
              <w:rPr>
                <w:rFonts w:hint="eastAsia" w:ascii="仿宋_GB2312" w:hAnsi="微软雅黑" w:eastAsia="仿宋_GB2312" w:cs="仿宋_GB2312"/>
                <w:color w:val="000000"/>
                <w:sz w:val="32"/>
                <w:szCs w:val="32"/>
              </w:rPr>
              <w:t>漳州卫生职业学院</w:t>
            </w:r>
          </w:p>
          <w:p>
            <w:pPr>
              <w:pStyle w:val="4"/>
              <w:widowControl/>
              <w:spacing w:line="555" w:lineRule="atLeast"/>
              <w:ind w:firstLine="5440" w:firstLineChars="1700"/>
              <w:jc w:val="both"/>
              <w:textAlignment w:val="center"/>
            </w:pPr>
            <w:r>
              <w:rPr>
                <w:rFonts w:hint="eastAsia" w:ascii="仿宋_GB2312" w:hAnsi="微软雅黑" w:eastAsia="仿宋_GB2312" w:cs="仿宋_GB2312"/>
                <w:color w:val="000000"/>
                <w:sz w:val="32"/>
                <w:szCs w:val="32"/>
              </w:rPr>
              <w:t>2023年11月10日</w:t>
            </w:r>
          </w:p>
        </w:tc>
      </w:tr>
    </w:tbl>
    <w:p>
      <w:pPr>
        <w:rPr>
          <w:rFonts w:ascii="仿宋_GB2312" w:hAnsi="微软雅黑" w:eastAsia="仿宋_GB2312" w:cs="仿宋_GB2312"/>
          <w:color w:val="000000"/>
          <w:kern w:val="0"/>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NWQ0MzkzNWQwMDBjZTM5NmNlNjlhNTlmYzVlM2EifQ=="/>
  </w:docVars>
  <w:rsids>
    <w:rsidRoot w:val="00C43B09"/>
    <w:rsid w:val="000102CF"/>
    <w:rsid w:val="00032D63"/>
    <w:rsid w:val="0006071A"/>
    <w:rsid w:val="0006265D"/>
    <w:rsid w:val="00062AC3"/>
    <w:rsid w:val="000E0CBA"/>
    <w:rsid w:val="00113F7D"/>
    <w:rsid w:val="0011693F"/>
    <w:rsid w:val="0013519F"/>
    <w:rsid w:val="001843DD"/>
    <w:rsid w:val="002E5890"/>
    <w:rsid w:val="002F3F2D"/>
    <w:rsid w:val="00313C90"/>
    <w:rsid w:val="003E153F"/>
    <w:rsid w:val="003E3CCE"/>
    <w:rsid w:val="0040726D"/>
    <w:rsid w:val="00421E79"/>
    <w:rsid w:val="0048463D"/>
    <w:rsid w:val="004A0884"/>
    <w:rsid w:val="00546ED7"/>
    <w:rsid w:val="006352B8"/>
    <w:rsid w:val="0065747F"/>
    <w:rsid w:val="00733DF7"/>
    <w:rsid w:val="00746832"/>
    <w:rsid w:val="007A14C7"/>
    <w:rsid w:val="007F12C3"/>
    <w:rsid w:val="007F6FB5"/>
    <w:rsid w:val="008A03AE"/>
    <w:rsid w:val="008A152C"/>
    <w:rsid w:val="008B3552"/>
    <w:rsid w:val="008D2968"/>
    <w:rsid w:val="008E4AB1"/>
    <w:rsid w:val="00922F78"/>
    <w:rsid w:val="00954DF8"/>
    <w:rsid w:val="0098694B"/>
    <w:rsid w:val="009D1B89"/>
    <w:rsid w:val="009E6E70"/>
    <w:rsid w:val="00AA2D17"/>
    <w:rsid w:val="00AA34B8"/>
    <w:rsid w:val="00AA4090"/>
    <w:rsid w:val="00B1114B"/>
    <w:rsid w:val="00B31D5E"/>
    <w:rsid w:val="00B36AFA"/>
    <w:rsid w:val="00B413D4"/>
    <w:rsid w:val="00BB6713"/>
    <w:rsid w:val="00C43B09"/>
    <w:rsid w:val="00C46DE7"/>
    <w:rsid w:val="00C614E1"/>
    <w:rsid w:val="00C754E9"/>
    <w:rsid w:val="00C75583"/>
    <w:rsid w:val="00C75F74"/>
    <w:rsid w:val="00C8273D"/>
    <w:rsid w:val="00D107FC"/>
    <w:rsid w:val="00D876D0"/>
    <w:rsid w:val="00E31D4E"/>
    <w:rsid w:val="00E65F28"/>
    <w:rsid w:val="00E84EB1"/>
    <w:rsid w:val="00ED308D"/>
    <w:rsid w:val="00EE0AE1"/>
    <w:rsid w:val="00EF4C93"/>
    <w:rsid w:val="00F00D11"/>
    <w:rsid w:val="00F312BB"/>
    <w:rsid w:val="09150170"/>
    <w:rsid w:val="09554A11"/>
    <w:rsid w:val="0A2863AB"/>
    <w:rsid w:val="0E016F15"/>
    <w:rsid w:val="11060B60"/>
    <w:rsid w:val="11126856"/>
    <w:rsid w:val="12696E37"/>
    <w:rsid w:val="13063563"/>
    <w:rsid w:val="1331230E"/>
    <w:rsid w:val="13D65AB1"/>
    <w:rsid w:val="13FD4C23"/>
    <w:rsid w:val="16832BBD"/>
    <w:rsid w:val="1942615A"/>
    <w:rsid w:val="1B6A60FA"/>
    <w:rsid w:val="1DEF0375"/>
    <w:rsid w:val="20087C8F"/>
    <w:rsid w:val="20B47F69"/>
    <w:rsid w:val="21217583"/>
    <w:rsid w:val="215E4F0F"/>
    <w:rsid w:val="222408FB"/>
    <w:rsid w:val="230C7DF8"/>
    <w:rsid w:val="236E03B3"/>
    <w:rsid w:val="26797B39"/>
    <w:rsid w:val="26A9312B"/>
    <w:rsid w:val="28A86C2B"/>
    <w:rsid w:val="29E7300B"/>
    <w:rsid w:val="2A0F07CB"/>
    <w:rsid w:val="2B3D6352"/>
    <w:rsid w:val="2BBB64FD"/>
    <w:rsid w:val="2CA3146B"/>
    <w:rsid w:val="31244B45"/>
    <w:rsid w:val="32A92E5C"/>
    <w:rsid w:val="334C7BCC"/>
    <w:rsid w:val="33D64169"/>
    <w:rsid w:val="36174C78"/>
    <w:rsid w:val="399C4EC2"/>
    <w:rsid w:val="3CE30E64"/>
    <w:rsid w:val="3CE84A55"/>
    <w:rsid w:val="3D6477DC"/>
    <w:rsid w:val="3DB50FFF"/>
    <w:rsid w:val="3E2972F7"/>
    <w:rsid w:val="40712288"/>
    <w:rsid w:val="40D16A3B"/>
    <w:rsid w:val="41D20F45"/>
    <w:rsid w:val="45813EBC"/>
    <w:rsid w:val="46A301FD"/>
    <w:rsid w:val="478D0307"/>
    <w:rsid w:val="47F4275A"/>
    <w:rsid w:val="4AAA5C63"/>
    <w:rsid w:val="4CFA4C80"/>
    <w:rsid w:val="4CFD207A"/>
    <w:rsid w:val="4D834C75"/>
    <w:rsid w:val="4E4837C9"/>
    <w:rsid w:val="4FE030B4"/>
    <w:rsid w:val="535C49C8"/>
    <w:rsid w:val="539D45B7"/>
    <w:rsid w:val="5898359F"/>
    <w:rsid w:val="59F12F67"/>
    <w:rsid w:val="5A3F0176"/>
    <w:rsid w:val="5A534EBF"/>
    <w:rsid w:val="5A541C17"/>
    <w:rsid w:val="5A56101C"/>
    <w:rsid w:val="5AD7215D"/>
    <w:rsid w:val="5B49753A"/>
    <w:rsid w:val="5BD40D92"/>
    <w:rsid w:val="5CD7553B"/>
    <w:rsid w:val="5D0D455B"/>
    <w:rsid w:val="5F1020E1"/>
    <w:rsid w:val="611E7C54"/>
    <w:rsid w:val="619B477E"/>
    <w:rsid w:val="61D513C0"/>
    <w:rsid w:val="624F7DE6"/>
    <w:rsid w:val="62AA3EF0"/>
    <w:rsid w:val="63013B9B"/>
    <w:rsid w:val="6329551F"/>
    <w:rsid w:val="634405AB"/>
    <w:rsid w:val="6486074F"/>
    <w:rsid w:val="66ED0F5A"/>
    <w:rsid w:val="68B07254"/>
    <w:rsid w:val="6A3A44B6"/>
    <w:rsid w:val="6A673E7E"/>
    <w:rsid w:val="6BEF307E"/>
    <w:rsid w:val="6EC03947"/>
    <w:rsid w:val="724B4E42"/>
    <w:rsid w:val="72BB1F0C"/>
    <w:rsid w:val="74A215D5"/>
    <w:rsid w:val="74E46455"/>
    <w:rsid w:val="75677A58"/>
    <w:rsid w:val="75811530"/>
    <w:rsid w:val="76E64667"/>
    <w:rsid w:val="778B45A3"/>
    <w:rsid w:val="77E37F3B"/>
    <w:rsid w:val="78CC09CF"/>
    <w:rsid w:val="7B581A27"/>
    <w:rsid w:val="7B641393"/>
    <w:rsid w:val="7CED360A"/>
    <w:rsid w:val="7E3E1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20"/>
    <w:qFormat/>
    <w:uiPriority w:val="0"/>
    <w:pPr>
      <w:tabs>
        <w:tab w:val="center" w:pos="4153"/>
        <w:tab w:val="right" w:pos="8306"/>
      </w:tabs>
      <w:snapToGrid w:val="0"/>
      <w:jc w:val="left"/>
    </w:pPr>
    <w:rPr>
      <w:sz w:val="18"/>
      <w:szCs w:val="18"/>
    </w:rPr>
  </w:style>
  <w:style w:type="paragraph" w:styleId="3">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kern w:val="0"/>
      <w:sz w:val="24"/>
    </w:rPr>
  </w:style>
  <w:style w:type="character" w:styleId="7">
    <w:name w:val="Strong"/>
    <w:qFormat/>
    <w:uiPriority w:val="0"/>
    <w:rPr>
      <w:b/>
    </w:rPr>
  </w:style>
  <w:style w:type="character" w:styleId="8">
    <w:name w:val="FollowedHyperlink"/>
    <w:qFormat/>
    <w:uiPriority w:val="0"/>
    <w:rPr>
      <w:color w:val="800080"/>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Variable"/>
    <w:basedOn w:val="6"/>
    <w:qFormat/>
    <w:uiPriority w:val="0"/>
  </w:style>
  <w:style w:type="character" w:styleId="12">
    <w:name w:val="Hyperlink"/>
    <w:qFormat/>
    <w:uiPriority w:val="0"/>
    <w:rPr>
      <w:color w:val="0000FF"/>
      <w:u w:val="none"/>
    </w:rPr>
  </w:style>
  <w:style w:type="character" w:styleId="13">
    <w:name w:val="HTML Code"/>
    <w:qFormat/>
    <w:uiPriority w:val="0"/>
    <w:rPr>
      <w:rFonts w:ascii="Courier New" w:hAnsi="Courier New"/>
      <w:sz w:val="20"/>
    </w:rPr>
  </w:style>
  <w:style w:type="character" w:styleId="14">
    <w:name w:val="HTML Cite"/>
    <w:basedOn w:val="6"/>
    <w:qFormat/>
    <w:uiPriority w:val="0"/>
  </w:style>
  <w:style w:type="character" w:customStyle="1" w:styleId="15">
    <w:name w:val="timestyle10261"/>
    <w:qFormat/>
    <w:uiPriority w:val="0"/>
    <w:rPr>
      <w:color w:val="555555"/>
      <w:sz w:val="21"/>
      <w:szCs w:val="21"/>
    </w:rPr>
  </w:style>
  <w:style w:type="character" w:customStyle="1" w:styleId="16">
    <w:name w:val="authorstyle10261"/>
    <w:qFormat/>
    <w:uiPriority w:val="0"/>
    <w:rPr>
      <w:color w:val="555555"/>
      <w:sz w:val="21"/>
      <w:szCs w:val="21"/>
    </w:rPr>
  </w:style>
  <w:style w:type="character" w:customStyle="1" w:styleId="17">
    <w:name w:val="auditstyle10261"/>
    <w:qFormat/>
    <w:uiPriority w:val="0"/>
    <w:rPr>
      <w:color w:val="555555"/>
      <w:sz w:val="21"/>
      <w:szCs w:val="21"/>
    </w:rPr>
  </w:style>
  <w:style w:type="character" w:customStyle="1" w:styleId="18">
    <w:name w:val="clickstyle10261"/>
    <w:qFormat/>
    <w:uiPriority w:val="0"/>
    <w:rPr>
      <w:color w:val="555555"/>
      <w:sz w:val="21"/>
      <w:szCs w:val="21"/>
    </w:rPr>
  </w:style>
  <w:style w:type="character" w:customStyle="1" w:styleId="19">
    <w:name w:val="页眉 Char"/>
    <w:link w:val="3"/>
    <w:qFormat/>
    <w:uiPriority w:val="0"/>
    <w:rPr>
      <w:rFonts w:ascii="Calibri" w:hAnsi="Calibri"/>
      <w:kern w:val="2"/>
      <w:sz w:val="18"/>
      <w:szCs w:val="18"/>
    </w:rPr>
  </w:style>
  <w:style w:type="character" w:customStyle="1" w:styleId="20">
    <w:name w:val="页脚 Char"/>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14</Pages>
  <Words>1002</Words>
  <Characters>5712</Characters>
  <Lines>47</Lines>
  <Paragraphs>13</Paragraphs>
  <TotalTime>3</TotalTime>
  <ScaleCrop>false</ScaleCrop>
  <LinksUpToDate>false</LinksUpToDate>
  <CharactersWithSpaces>6701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2023-11-10T01:17:00Z</dcterms:created>
  <dc:creator>lenovo</dc:creator>
  <cp:lastModifiedBy>张文华</cp:lastModifiedBy>
  <cp:lastPrinted>2023-11-03T06:52:00Z</cp:lastPrinted>
  <dcterms:modified xsi:type="dcterms:W3CDTF">2023-11-10T01:24:21Z</dcterms:modified>
  <dc:title>漳州卫生职业学院2017-2018学年度信息公开报告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3E4AE80F300B4D869A949561339C4C54</vt:lpwstr>
  </property>
</Properties>
</file>